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D38" w:rsidRDefault="0047506D">
      <w:pPr>
        <w:spacing w:line="240" w:lineRule="auto"/>
        <w:jc w:val="right"/>
      </w:pPr>
      <w:r>
        <w:rPr>
          <w:rFonts w:ascii="Times New Roman" w:eastAsia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Corbel" w:hAnsi="Corbel" w:cs="Corbel"/>
          <w:b/>
          <w:bCs/>
        </w:rPr>
        <w:tab/>
      </w:r>
      <w:r>
        <w:rPr>
          <w:rFonts w:ascii="Corbel" w:hAnsi="Corbel" w:cs="Corbel"/>
          <w:bCs/>
          <w:i/>
          <w:highlight w:val="yellow"/>
        </w:rPr>
        <w:t>Załącznik nr 1.5 do Zarządzenia Rektora UR  nr 7/2023</w:t>
      </w:r>
    </w:p>
    <w:p w:rsidR="00E74D38" w:rsidRDefault="0047506D">
      <w:pPr>
        <w:spacing w:after="0" w:line="240" w:lineRule="auto"/>
        <w:jc w:val="center"/>
        <w:rPr>
          <w:rFonts w:ascii="Corbel" w:hAnsi="Corbel" w:cs="Corbel"/>
          <w:b/>
          <w:smallCaps/>
          <w:sz w:val="24"/>
          <w:szCs w:val="24"/>
        </w:rPr>
      </w:pPr>
      <w:r>
        <w:rPr>
          <w:rFonts w:ascii="Corbel" w:hAnsi="Corbel" w:cs="Corbel"/>
          <w:b/>
          <w:smallCaps/>
          <w:sz w:val="24"/>
          <w:szCs w:val="24"/>
        </w:rPr>
        <w:t>SYLABUS</w:t>
      </w:r>
    </w:p>
    <w:p w:rsidR="00E74D38" w:rsidRDefault="0047506D">
      <w:pPr>
        <w:spacing w:after="0" w:line="240" w:lineRule="exact"/>
        <w:jc w:val="center"/>
      </w:pPr>
      <w:r>
        <w:rPr>
          <w:rFonts w:ascii="Corbel" w:hAnsi="Corbel" w:cs="Corbel"/>
          <w:b/>
          <w:smallCaps/>
          <w:sz w:val="24"/>
          <w:szCs w:val="24"/>
        </w:rPr>
        <w:t xml:space="preserve">dotyczy cyklu kształcenia </w:t>
      </w:r>
      <w:r w:rsidR="0036582D">
        <w:rPr>
          <w:rFonts w:ascii="Corbel" w:hAnsi="Corbel" w:cs="Corbel"/>
          <w:i/>
          <w:smallCaps/>
          <w:sz w:val="24"/>
          <w:szCs w:val="24"/>
        </w:rPr>
        <w:t>2021-2024</w:t>
      </w:r>
      <w:bookmarkStart w:id="0" w:name="_GoBack"/>
      <w:bookmarkEnd w:id="0"/>
    </w:p>
    <w:p w:rsidR="00E74D38" w:rsidRDefault="0047506D">
      <w:pPr>
        <w:spacing w:after="0" w:line="240" w:lineRule="exact"/>
        <w:jc w:val="both"/>
      </w:pPr>
      <w:r>
        <w:rPr>
          <w:rFonts w:ascii="Corbel" w:eastAsia="Corbel" w:hAnsi="Corbel" w:cs="Corbel"/>
          <w:i/>
          <w:sz w:val="24"/>
          <w:szCs w:val="24"/>
        </w:rPr>
        <w:t xml:space="preserve">                                                                                                                    </w:t>
      </w:r>
      <w:r>
        <w:rPr>
          <w:rFonts w:ascii="Corbel" w:hAnsi="Corbel" w:cs="Corbel"/>
          <w:i/>
          <w:sz w:val="20"/>
          <w:szCs w:val="20"/>
        </w:rPr>
        <w:t>(skrajne daty</w:t>
      </w:r>
      <w:r>
        <w:rPr>
          <w:rFonts w:ascii="Corbel" w:hAnsi="Corbel" w:cs="Corbel"/>
          <w:sz w:val="20"/>
          <w:szCs w:val="20"/>
        </w:rPr>
        <w:t>)</w:t>
      </w:r>
    </w:p>
    <w:p w:rsidR="00E74D38" w:rsidRDefault="0047506D">
      <w:pPr>
        <w:spacing w:after="0" w:line="240" w:lineRule="exact"/>
        <w:jc w:val="both"/>
        <w:rPr>
          <w:rFonts w:ascii="Corbel" w:hAnsi="Corbel" w:cs="Corbel"/>
          <w:sz w:val="20"/>
          <w:szCs w:val="20"/>
        </w:rPr>
      </w:pP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</w:r>
      <w:r>
        <w:rPr>
          <w:rFonts w:ascii="Corbel" w:hAnsi="Corbel" w:cs="Corbel"/>
          <w:sz w:val="20"/>
          <w:szCs w:val="20"/>
        </w:rPr>
        <w:tab/>
        <w:t>Rok akademicki   2023/4</w:t>
      </w:r>
    </w:p>
    <w:p w:rsidR="00E74D38" w:rsidRDefault="00E74D38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E74D38" w:rsidRDefault="0047506D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>1. Podstawowe informacje o przedmiocie</w:t>
      </w:r>
    </w:p>
    <w:tbl>
      <w:tblPr>
        <w:tblW w:w="9790" w:type="dxa"/>
        <w:tblInd w:w="-39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2693"/>
        <w:gridCol w:w="7097"/>
      </w:tblGrid>
      <w:tr w:rsidR="00E74D38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Odpowiedzi"/>
              <w:snapToGrid w:val="0"/>
              <w:spacing w:before="0" w:after="0"/>
              <w:rPr>
                <w:rFonts w:ascii="Corbel" w:eastAsia="Arial" w:hAnsi="Corbel" w:cs="Corbel"/>
                <w:b w:val="0"/>
                <w:sz w:val="24"/>
                <w:szCs w:val="24"/>
              </w:rPr>
            </w:pPr>
            <w:r>
              <w:rPr>
                <w:rFonts w:ascii="Corbel" w:eastAsia="Arial" w:hAnsi="Corbel" w:cs="Corbel"/>
                <w:b w:val="0"/>
                <w:sz w:val="24"/>
                <w:szCs w:val="24"/>
              </w:rPr>
              <w:t>Przestrzeń, ruch, dźwięk; komunikacja niewerbalna</w:t>
            </w:r>
          </w:p>
        </w:tc>
      </w:tr>
      <w:tr w:rsidR="00E74D38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E74D38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</w:p>
        </w:tc>
      </w:tr>
      <w:tr w:rsidR="00E74D38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Kolegium Humanistyczne</w:t>
            </w:r>
          </w:p>
        </w:tc>
      </w:tr>
      <w:tr w:rsidR="00E74D38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Kolegium Humanistyczne, Instytut Filozofii/Zakład Filozofii Człowieka</w:t>
            </w:r>
          </w:p>
        </w:tc>
      </w:tr>
      <w:tr w:rsidR="00E74D38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Komunikacja </w:t>
            </w:r>
            <w:proofErr w:type="spellStart"/>
            <w:r>
              <w:rPr>
                <w:rFonts w:ascii="Corbel" w:hAnsi="Corbel" w:cs="Corbel"/>
                <w:b w:val="0"/>
                <w:sz w:val="24"/>
                <w:szCs w:val="24"/>
              </w:rPr>
              <w:t>miedzykulturowa</w:t>
            </w:r>
            <w:proofErr w:type="spellEnd"/>
          </w:p>
        </w:tc>
      </w:tr>
      <w:tr w:rsidR="00E74D38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podstawowy</w:t>
            </w:r>
          </w:p>
        </w:tc>
      </w:tr>
      <w:tr w:rsidR="00E74D38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specjalizacyjny</w:t>
            </w:r>
          </w:p>
        </w:tc>
      </w:tr>
      <w:tr w:rsidR="00E74D38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Stacjonarne</w:t>
            </w:r>
          </w:p>
        </w:tc>
      </w:tr>
      <w:tr w:rsidR="00E74D38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I/1</w:t>
            </w:r>
          </w:p>
        </w:tc>
      </w:tr>
      <w:tr w:rsidR="00E74D38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obligatoryjny</w:t>
            </w:r>
          </w:p>
        </w:tc>
      </w:tr>
      <w:tr w:rsidR="00E74D38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Polski (ENG)</w:t>
            </w:r>
          </w:p>
        </w:tc>
      </w:tr>
      <w:tr w:rsidR="00E74D38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  <w:tr w:rsidR="00E74D38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ytania"/>
              <w:spacing w:before="280" w:after="28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Odpowiedzi"/>
              <w:snapToGrid w:val="0"/>
              <w:spacing w:before="280" w:after="280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Dr Adam Kubiak</w:t>
            </w:r>
          </w:p>
        </w:tc>
      </w:tr>
    </w:tbl>
    <w:p w:rsidR="00E74D38" w:rsidRDefault="0047506D">
      <w:pPr>
        <w:pStyle w:val="Podpunkty"/>
        <w:spacing w:before="280" w:after="280"/>
        <w:ind w:left="0"/>
      </w:pPr>
      <w:r>
        <w:rPr>
          <w:rFonts w:ascii="Corbel" w:hAnsi="Corbel" w:cs="Corbel"/>
          <w:sz w:val="24"/>
          <w:szCs w:val="24"/>
        </w:rPr>
        <w:lastRenderedPageBreak/>
        <w:t xml:space="preserve">* </w:t>
      </w:r>
      <w:r>
        <w:rPr>
          <w:rFonts w:ascii="Corbel" w:hAnsi="Corbel" w:cs="Corbel"/>
          <w:i/>
          <w:sz w:val="24"/>
          <w:szCs w:val="24"/>
        </w:rPr>
        <w:t>-</w:t>
      </w:r>
      <w:r>
        <w:rPr>
          <w:rFonts w:ascii="Corbel" w:hAnsi="Corbel" w:cs="Corbel"/>
          <w:b w:val="0"/>
          <w:i/>
          <w:sz w:val="24"/>
          <w:szCs w:val="24"/>
        </w:rPr>
        <w:t>opcjonalni</w:t>
      </w:r>
      <w:r>
        <w:rPr>
          <w:rFonts w:ascii="Corbel" w:hAnsi="Corbel" w:cs="Corbel"/>
          <w:b w:val="0"/>
          <w:sz w:val="24"/>
          <w:szCs w:val="24"/>
        </w:rPr>
        <w:t>e,</w:t>
      </w:r>
      <w:r>
        <w:rPr>
          <w:rFonts w:ascii="Corbel" w:hAnsi="Corbel" w:cs="Corbel"/>
          <w:i/>
          <w:sz w:val="24"/>
          <w:szCs w:val="24"/>
        </w:rPr>
        <w:t xml:space="preserve"> </w:t>
      </w:r>
      <w:r>
        <w:rPr>
          <w:rFonts w:ascii="Corbel" w:hAnsi="Corbel" w:cs="Corbel"/>
          <w:b w:val="0"/>
          <w:i/>
          <w:sz w:val="24"/>
          <w:szCs w:val="24"/>
        </w:rPr>
        <w:t>zgodnie z ustaleniami w Jednostce</w:t>
      </w:r>
    </w:p>
    <w:p w:rsidR="00E74D38" w:rsidRDefault="00E74D3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p w:rsidR="00E74D38" w:rsidRDefault="0047506D">
      <w:pPr>
        <w:pStyle w:val="Podpunkty"/>
        <w:ind w:left="284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1.1.Formy zajęć dydaktycznych, wymiar godzin i punktów ECTS </w:t>
      </w:r>
    </w:p>
    <w:p w:rsidR="00E74D38" w:rsidRDefault="00E74D38">
      <w:pPr>
        <w:pStyle w:val="Podpunkty"/>
        <w:ind w:left="0"/>
        <w:rPr>
          <w:rFonts w:ascii="Corbel" w:hAnsi="Corbel" w:cs="Corbel"/>
          <w:sz w:val="24"/>
          <w:szCs w:val="24"/>
        </w:rPr>
      </w:pPr>
    </w:p>
    <w:tbl>
      <w:tblPr>
        <w:tblW w:w="9637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048"/>
        <w:gridCol w:w="913"/>
        <w:gridCol w:w="788"/>
        <w:gridCol w:w="851"/>
        <w:gridCol w:w="801"/>
        <w:gridCol w:w="822"/>
        <w:gridCol w:w="763"/>
        <w:gridCol w:w="949"/>
        <w:gridCol w:w="1189"/>
        <w:gridCol w:w="1513"/>
      </w:tblGrid>
      <w:tr w:rsidR="00E74D38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Semestr</w:t>
            </w:r>
          </w:p>
          <w:p w:rsidR="00E74D38" w:rsidRDefault="0047506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Wykł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Konw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Sem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ZP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proofErr w:type="spellStart"/>
            <w:r>
              <w:rPr>
                <w:rFonts w:ascii="Corbel" w:hAnsi="Corbel" w:cs="Corbel"/>
                <w:szCs w:val="24"/>
              </w:rPr>
              <w:t>Prakt</w:t>
            </w:r>
            <w:proofErr w:type="spellEnd"/>
            <w:r>
              <w:rPr>
                <w:rFonts w:ascii="Corbel" w:hAnsi="Corbel" w:cs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Nagwkitablic"/>
              <w:spacing w:line="240" w:lineRule="auto"/>
              <w:jc w:val="center"/>
              <w:rPr>
                <w:rFonts w:ascii="Corbel" w:hAnsi="Corbel" w:cs="Corbel"/>
                <w:b/>
                <w:szCs w:val="24"/>
              </w:rPr>
            </w:pPr>
            <w:r>
              <w:rPr>
                <w:rFonts w:ascii="Corbel" w:hAnsi="Corbel" w:cs="Corbel"/>
                <w:b/>
                <w:szCs w:val="24"/>
              </w:rPr>
              <w:t>Liczba pkt. ECTS</w:t>
            </w:r>
          </w:p>
        </w:tc>
      </w:tr>
      <w:tr w:rsidR="00E74D38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E74D3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E74D3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E74D3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E74D3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E74D3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E74D3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Praca w terenie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  <w:tr w:rsidR="00E74D38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E74D3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E74D3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E74D3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E74D3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E74D3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E74D3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E74D3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E74D3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E74D3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E74D38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4"/>
                <w:szCs w:val="24"/>
              </w:rPr>
            </w:pPr>
          </w:p>
        </w:tc>
      </w:tr>
    </w:tbl>
    <w:p w:rsidR="00E74D38" w:rsidRDefault="00E74D38">
      <w:pPr>
        <w:pStyle w:val="Podpunkty"/>
        <w:ind w:left="0"/>
        <w:rPr>
          <w:rFonts w:ascii="Corbel" w:hAnsi="Corbel" w:cs="Corbel"/>
          <w:b w:val="0"/>
          <w:sz w:val="24"/>
          <w:szCs w:val="24"/>
          <w:lang w:eastAsia="en-US"/>
        </w:rPr>
      </w:pPr>
    </w:p>
    <w:p w:rsidR="00E74D38" w:rsidRDefault="00E74D38">
      <w:pPr>
        <w:pStyle w:val="Podpunkty"/>
        <w:rPr>
          <w:rFonts w:ascii="Corbel" w:hAnsi="Corbel" w:cs="Corbel"/>
          <w:b w:val="0"/>
          <w:sz w:val="24"/>
          <w:szCs w:val="24"/>
          <w:lang w:eastAsia="en-US"/>
        </w:rPr>
      </w:pPr>
    </w:p>
    <w:p w:rsidR="00E74D38" w:rsidRDefault="0047506D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1.2.</w:t>
      </w:r>
      <w:r>
        <w:rPr>
          <w:rFonts w:ascii="Corbel" w:hAnsi="Corbel" w:cs="Corbel"/>
          <w:smallCaps w:val="0"/>
          <w:szCs w:val="24"/>
        </w:rPr>
        <w:tab/>
        <w:t xml:space="preserve">Sposób realizacji zajęć  </w:t>
      </w:r>
    </w:p>
    <w:p w:rsidR="00E74D38" w:rsidRDefault="0047506D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Cs/>
          <w:smallCaps w:val="0"/>
          <w:szCs w:val="24"/>
          <w:u w:val="single"/>
        </w:rPr>
        <w:t>zajęcia w formie tradycyjnej</w:t>
      </w:r>
      <w:r>
        <w:rPr>
          <w:rFonts w:ascii="Corbel" w:hAnsi="Corbel" w:cs="Corbel"/>
          <w:b w:val="0"/>
          <w:smallCaps w:val="0"/>
          <w:szCs w:val="24"/>
        </w:rPr>
        <w:t xml:space="preserve"> </w:t>
      </w:r>
    </w:p>
    <w:p w:rsidR="00E74D38" w:rsidRDefault="0047506D">
      <w:pPr>
        <w:pStyle w:val="Punktygwne"/>
        <w:spacing w:before="0" w:after="0"/>
        <w:ind w:left="709"/>
      </w:pPr>
      <w:r>
        <w:rPr>
          <w:rFonts w:ascii="Segoe UI Symbol" w:eastAsia="MS Gothic" w:hAnsi="Segoe UI Symbol" w:cs="Segoe UI Symbol"/>
          <w:b w:val="0"/>
          <w:szCs w:val="24"/>
        </w:rPr>
        <w:t>☐</w:t>
      </w:r>
      <w:r>
        <w:rPr>
          <w:rFonts w:ascii="Corbel" w:eastAsia="Corbel" w:hAnsi="Corbel" w:cs="Corbel"/>
          <w:b w:val="0"/>
          <w:smallCaps w:val="0"/>
          <w:szCs w:val="24"/>
        </w:rPr>
        <w:t xml:space="preserve"> </w:t>
      </w:r>
      <w:r>
        <w:rPr>
          <w:rFonts w:ascii="Corbel" w:hAnsi="Corbel" w:cs="Corbel"/>
          <w:b w:val="0"/>
          <w:smallCaps w:val="0"/>
          <w:szCs w:val="24"/>
        </w:rPr>
        <w:t>zajęcia realizowane z wykorzystaniem metod i technik kształcenia na odległość</w:t>
      </w:r>
    </w:p>
    <w:p w:rsidR="00E74D38" w:rsidRDefault="00E74D3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p w:rsidR="00E74D38" w:rsidRDefault="0047506D">
      <w:pPr>
        <w:pStyle w:val="Punktygwne"/>
        <w:tabs>
          <w:tab w:val="left" w:pos="709"/>
        </w:tabs>
        <w:spacing w:before="0" w:after="0"/>
        <w:ind w:left="709" w:hanging="425"/>
      </w:pPr>
      <w:r>
        <w:rPr>
          <w:rFonts w:ascii="Corbel" w:hAnsi="Corbel" w:cs="Corbel"/>
          <w:smallCaps w:val="0"/>
          <w:szCs w:val="24"/>
        </w:rPr>
        <w:t xml:space="preserve">1.3 </w:t>
      </w:r>
      <w:r>
        <w:rPr>
          <w:rFonts w:ascii="Corbel" w:hAnsi="Corbel" w:cs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 w:cs="Corbel"/>
          <w:b w:val="0"/>
          <w:smallCaps w:val="0"/>
          <w:szCs w:val="24"/>
        </w:rPr>
        <w:t xml:space="preserve">(egzamin, </w:t>
      </w:r>
      <w:r>
        <w:rPr>
          <w:rFonts w:ascii="Corbel" w:hAnsi="Corbel" w:cs="Corbel"/>
          <w:bCs/>
          <w:smallCaps w:val="0"/>
          <w:szCs w:val="24"/>
          <w:u w:val="single"/>
        </w:rPr>
        <w:t>zaliczenie z oceną</w:t>
      </w:r>
      <w:r>
        <w:rPr>
          <w:rFonts w:ascii="Corbel" w:hAnsi="Corbel" w:cs="Corbel"/>
          <w:b w:val="0"/>
          <w:smallCaps w:val="0"/>
          <w:szCs w:val="24"/>
        </w:rPr>
        <w:t>, zaliczenie bez oceny)</w:t>
      </w:r>
    </w:p>
    <w:p w:rsidR="00E74D38" w:rsidRDefault="00E74D3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E74D38" w:rsidRDefault="00E74D3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E74D38" w:rsidRDefault="0047506D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2.Wymagania wstępne </w:t>
      </w: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30"/>
      </w:tblGrid>
      <w:tr w:rsidR="00E74D38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podstawowa wiedza z zakresu historii kultury</w:t>
            </w:r>
          </w:p>
          <w:p w:rsidR="00E74D38" w:rsidRDefault="00E74D38">
            <w:pPr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</w:p>
          <w:p w:rsidR="00E74D38" w:rsidRDefault="0047506D">
            <w:pPr>
              <w:snapToGrid w:val="0"/>
            </w:pPr>
            <w:r>
              <w:t>Podstawowa wiedza ogólna z zakresu nauk o kulturze;</w:t>
            </w:r>
          </w:p>
          <w:p w:rsidR="00E74D38" w:rsidRDefault="0047506D">
            <w:pPr>
              <w:snapToGrid w:val="0"/>
              <w:spacing w:before="40" w:after="40"/>
              <w:rPr>
                <w:rFonts w:ascii="Corbel" w:hAnsi="Corbel" w:cs="Corbel"/>
                <w:color w:val="000000"/>
                <w:szCs w:val="24"/>
              </w:rPr>
            </w:pPr>
            <w:r>
              <w:rPr>
                <w:rFonts w:ascii="Corbel" w:hAnsi="Corbel" w:cs="Corbel"/>
                <w:color w:val="000000"/>
                <w:szCs w:val="24"/>
              </w:rPr>
              <w:t>brak przeciwskazań, bądź okoliczności un</w:t>
            </w:r>
            <w:r>
              <w:rPr>
                <w:rFonts w:ascii="Corbel" w:hAnsi="Corbel" w:cs="Corbel"/>
                <w:color w:val="000000"/>
                <w:szCs w:val="24"/>
              </w:rPr>
              <w:t>iemożliwiających pracę terenową</w:t>
            </w:r>
          </w:p>
          <w:p w:rsidR="00E74D38" w:rsidRDefault="00E74D38">
            <w:pPr>
              <w:snapToGrid w:val="0"/>
              <w:spacing w:before="40" w:after="40"/>
              <w:rPr>
                <w:rFonts w:ascii="Corbel" w:hAnsi="Corbel" w:cs="Corbel"/>
                <w:color w:val="000000"/>
                <w:szCs w:val="24"/>
              </w:rPr>
            </w:pPr>
          </w:p>
          <w:p w:rsidR="00E74D38" w:rsidRDefault="0047506D">
            <w:pPr>
              <w:snapToGrid w:val="0"/>
              <w:spacing w:before="40" w:after="40"/>
              <w:rPr>
                <w:rFonts w:ascii="Arial CE" w:eastAsia="Arial CE" w:hAnsi="Arial CE" w:cs="Arial CE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 CE" w:eastAsia="Arial CE" w:hAnsi="Arial CE" w:cs="Arial CE"/>
                <w:b/>
                <w:bCs/>
                <w:color w:val="000000"/>
                <w:sz w:val="24"/>
                <w:szCs w:val="24"/>
              </w:rPr>
              <w:t xml:space="preserve">UWAGA: Ze względu na możliwe problemy prawne (zajęcia terenowe, obserwacja w terenie, samodzielna i grupowa) uczestnicy zajęć jak i prowadzący muszą otrzymać czytelne identyfikatory/zaświadczenia wystawione przez </w:t>
            </w:r>
            <w:r>
              <w:rPr>
                <w:rFonts w:ascii="Arial CE" w:eastAsia="Arial CE" w:hAnsi="Arial CE" w:cs="Arial CE"/>
                <w:b/>
                <w:bCs/>
                <w:color w:val="000000"/>
                <w:sz w:val="24"/>
                <w:szCs w:val="24"/>
              </w:rPr>
              <w:t>macierzystą jednostkę oraz zaświadczenie o realizacji programu przedmiotu, do okazania w razie potrzeby.</w:t>
            </w:r>
          </w:p>
          <w:p w:rsidR="00E74D38" w:rsidRDefault="00E74D38">
            <w:pPr>
              <w:pStyle w:val="Punktygwne"/>
              <w:snapToGrid w:val="0"/>
              <w:spacing w:before="40" w:after="40"/>
              <w:rPr>
                <w:rFonts w:ascii="Corbel" w:eastAsia="Arial CE" w:hAnsi="Corbel" w:cs="Corbel"/>
                <w:b w:val="0"/>
                <w:bCs/>
                <w:smallCaps w:val="0"/>
                <w:color w:val="000000"/>
                <w:szCs w:val="24"/>
              </w:rPr>
            </w:pPr>
          </w:p>
          <w:p w:rsidR="00E74D38" w:rsidRDefault="00E74D38">
            <w:pPr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</w:p>
          <w:p w:rsidR="00E74D38" w:rsidRDefault="0047506D">
            <w:pPr>
              <w:snapToGrid w:val="0"/>
              <w:spacing w:before="40" w:after="40"/>
              <w:rPr>
                <w:rFonts w:ascii="Arial" w:eastAsia="Arial" w:hAnsi="Arial" w:cs="Arial"/>
                <w:color w:val="000000"/>
                <w:sz w:val="20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 xml:space="preserve">zalecana: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znajomośc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 xml:space="preserve"> języka angielskiego na poziomie B1-2 (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reading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listening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 xml:space="preserve">, </w:t>
            </w:r>
            <w:proofErr w:type="spellStart"/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understanding</w:t>
            </w:r>
            <w:proofErr w:type="spellEnd"/>
            <w:r>
              <w:rPr>
                <w:rFonts w:ascii="Arial" w:eastAsia="Arial" w:hAnsi="Arial" w:cs="Arial"/>
                <w:color w:val="000000"/>
                <w:sz w:val="20"/>
                <w:szCs w:val="24"/>
              </w:rPr>
              <w:t>)</w:t>
            </w:r>
          </w:p>
        </w:tc>
      </w:tr>
    </w:tbl>
    <w:p w:rsidR="00E74D38" w:rsidRDefault="00E74D38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E74D38" w:rsidRDefault="0047506D">
      <w:pPr>
        <w:pStyle w:val="Punktygwne"/>
        <w:spacing w:before="0" w:after="0"/>
        <w:rPr>
          <w:rFonts w:ascii="Corbel" w:hAnsi="Corbel" w:cs="Corbel"/>
          <w:szCs w:val="24"/>
        </w:rPr>
      </w:pPr>
      <w:r>
        <w:rPr>
          <w:rFonts w:ascii="Corbel" w:hAnsi="Corbel" w:cs="Corbel"/>
          <w:szCs w:val="24"/>
        </w:rPr>
        <w:t xml:space="preserve">3. cele, efekty uczenia się , treści Programowe i </w:t>
      </w:r>
      <w:r>
        <w:rPr>
          <w:rFonts w:ascii="Corbel" w:hAnsi="Corbel" w:cs="Corbel"/>
          <w:szCs w:val="24"/>
        </w:rPr>
        <w:t>stosowane metody Dydaktyczne</w:t>
      </w:r>
    </w:p>
    <w:p w:rsidR="00E74D38" w:rsidRDefault="00E74D38">
      <w:pPr>
        <w:pStyle w:val="Punktygwne"/>
        <w:spacing w:before="0" w:after="0"/>
        <w:rPr>
          <w:rFonts w:ascii="Corbel" w:hAnsi="Corbel" w:cs="Corbel"/>
          <w:szCs w:val="24"/>
        </w:rPr>
      </w:pPr>
    </w:p>
    <w:p w:rsidR="00E74D38" w:rsidRDefault="0047506D">
      <w:pPr>
        <w:pStyle w:val="Podpunkty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>3.1 Cele przedmiotu</w:t>
      </w:r>
    </w:p>
    <w:p w:rsidR="00E74D38" w:rsidRDefault="00E74D38">
      <w:pPr>
        <w:pStyle w:val="Podpunkty"/>
        <w:rPr>
          <w:rFonts w:ascii="Corbel" w:hAnsi="Corbel" w:cs="Corbel"/>
          <w:sz w:val="24"/>
          <w:szCs w:val="24"/>
        </w:rPr>
      </w:pPr>
    </w:p>
    <w:p w:rsidR="00E74D38" w:rsidRDefault="00E74D38">
      <w:pPr>
        <w:rPr>
          <w:rFonts w:ascii="Corbel" w:hAnsi="Corbel" w:cs="Corbel"/>
          <w:i/>
          <w:sz w:val="24"/>
          <w:szCs w:val="24"/>
        </w:rPr>
      </w:pPr>
    </w:p>
    <w:tbl>
      <w:tblPr>
        <w:tblW w:w="9529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844"/>
        <w:gridCol w:w="8685"/>
      </w:tblGrid>
      <w:tr w:rsidR="00E74D38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odpunkty"/>
              <w:spacing w:before="40" w:after="40"/>
              <w:ind w:left="0"/>
              <w:jc w:val="left"/>
              <w:rPr>
                <w:rFonts w:ascii="Arial" w:eastAsia="Arial" w:hAnsi="Arial" w:cs="Arial"/>
                <w:sz w:val="20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Celem zajęć jest wprowadzenie studentów w zagadnienia związane z pozawerbalnymi formami komunikacji. W tym z: komunikacją intencjonalną,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semiintencjonalną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jak i nieintencjonalną. Tematyka zajęć obejmuje refleksję nad zagadnieniami związanymi z: </w:t>
            </w:r>
          </w:p>
          <w:p w:rsidR="00E74D38" w:rsidRDefault="0047506D">
            <w:pPr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(Zajęcia o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bejmują serię ćwiczeń praktycznych odbywanych w terenie.)</w:t>
            </w:r>
          </w:p>
        </w:tc>
      </w:tr>
      <w:tr w:rsidR="00E74D38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lastRenderedPageBreak/>
              <w:t>C1</w:t>
            </w:r>
          </w:p>
        </w:tc>
        <w:tc>
          <w:tcPr>
            <w:tcW w:w="8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komunikacją ciałem („mowa ciała”, komunikaty zbiorowe i indywidualne, przestrzeń ciała, intencjonalna i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semiintencjonalna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komunikacja ciałem – taniec, teatr, ruch komunikacyjny, rytuały i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zachowania sygnalizacyjne)</w:t>
            </w:r>
          </w:p>
        </w:tc>
      </w:tr>
      <w:tr w:rsidR="00E74D38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autoSpaceDE w:val="0"/>
              <w:snapToGrid w:val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komunikacją w przestrzeni (architektura, budowanie przestrzeni architektonicznej, znaki i symbole w przestrzeni) </w:t>
            </w:r>
          </w:p>
        </w:tc>
      </w:tr>
      <w:tr w:rsidR="00E74D38"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autoSpaceDE w:val="0"/>
              <w:snapToGrid w:val="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komunikacją dźwiękową niewerbalną (komunikacja w muzyce, ilustracyjność tematów i technik muzycznych, „mowa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muzyki” i „mowa dźwięków”, komunikaty sygnałowe)</w:t>
            </w:r>
          </w:p>
        </w:tc>
      </w:tr>
      <w:tr w:rsidR="00E74D38"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sz w:val="24"/>
                <w:szCs w:val="24"/>
              </w:rPr>
            </w:pPr>
            <w:r>
              <w:rPr>
                <w:rFonts w:ascii="Corbel" w:hAnsi="Corbel" w:cs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8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snapToGrid w:val="0"/>
              <w:spacing w:before="40" w:after="40"/>
            </w:pPr>
            <w:r>
              <w:rPr>
                <w:rFonts w:ascii="Arial" w:eastAsia="Arial" w:hAnsi="Arial" w:cs="Arial"/>
                <w:sz w:val="20"/>
                <w:szCs w:val="20"/>
              </w:rPr>
              <w:t>Komunikacja ruchu i ruchem (zarządzanie i kontrola ruchu, symbolizacja i ucieleśnienie, strategie zrytualizowane)</w:t>
            </w:r>
          </w:p>
        </w:tc>
      </w:tr>
    </w:tbl>
    <w:p w:rsidR="00E74D38" w:rsidRDefault="00E74D38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Cs w:val="24"/>
        </w:rPr>
      </w:pPr>
    </w:p>
    <w:p w:rsidR="00E74D38" w:rsidRDefault="0047506D">
      <w:pPr>
        <w:spacing w:after="0" w:line="240" w:lineRule="auto"/>
        <w:ind w:left="426"/>
      </w:pPr>
      <w:r>
        <w:rPr>
          <w:rFonts w:ascii="Corbel" w:hAnsi="Corbel" w:cs="Corbel"/>
          <w:b/>
          <w:sz w:val="24"/>
          <w:szCs w:val="24"/>
        </w:rPr>
        <w:t>3.2 Efekty uczenia się dla przedmiotu</w:t>
      </w:r>
      <w:r>
        <w:rPr>
          <w:rFonts w:ascii="Corbel" w:hAnsi="Corbel" w:cs="Corbel"/>
          <w:sz w:val="24"/>
          <w:szCs w:val="24"/>
        </w:rPr>
        <w:t xml:space="preserve"> </w:t>
      </w:r>
    </w:p>
    <w:p w:rsidR="00E74D38" w:rsidRDefault="00E74D38">
      <w:pPr>
        <w:spacing w:after="0"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607"/>
        <w:gridCol w:w="5538"/>
        <w:gridCol w:w="2385"/>
      </w:tblGrid>
      <w:tr w:rsidR="00E74D38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unktygwne"/>
              <w:spacing w:before="0" w:after="0"/>
              <w:jc w:val="center"/>
            </w:pPr>
            <w:r>
              <w:rPr>
                <w:rFonts w:ascii="Corbel" w:hAnsi="Corbel" w:cs="Corbel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FootnoteAnchor"/>
                <w:rFonts w:ascii="Corbel" w:hAnsi="Corbel" w:cs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74D38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 w:cs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autoSpaceDE w:val="0"/>
              <w:snapToGrid w:val="0"/>
              <w:spacing w:after="0"/>
              <w:jc w:val="both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znajomość podstaw teoretycznych współczesnych koncepcji komunikacji w zakresie przedmiotu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K_W01,K_W02</w:t>
            </w:r>
          </w:p>
        </w:tc>
      </w:tr>
      <w:tr w:rsidR="00E74D38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autoSpaceDE w:val="0"/>
              <w:snapToGrid w:val="0"/>
              <w:spacing w:after="0" w:line="360" w:lineRule="auto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znajomość i umiejętność stosowania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podstawowego instrumentarium obserwacyjnego, orientacja w problemach związanych z pracą obserwacyjną;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K_W03, K_U01,K_U02</w:t>
            </w:r>
          </w:p>
        </w:tc>
      </w:tr>
      <w:tr w:rsidR="00E74D38">
        <w:tc>
          <w:tcPr>
            <w:tcW w:w="1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autoSpaceDE w:val="0"/>
              <w:snapToGrid w:val="0"/>
              <w:spacing w:after="0"/>
              <w:jc w:val="both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umiejętność podstawowej analizy materiału obserwacyjnego i jego referowania, umiejętność przedstawiania interpretacji materiałów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obserwacyjnych w sposób uporządkowany i czytelny;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K_U07,K_U011,K_U013</w:t>
            </w:r>
          </w:p>
        </w:tc>
      </w:tr>
      <w:tr w:rsidR="00E74D38">
        <w:tc>
          <w:tcPr>
            <w:tcW w:w="168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autoSpaceDE w:val="0"/>
              <w:snapToGrid w:val="0"/>
              <w:spacing w:after="0"/>
              <w:jc w:val="both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umiejętność pracy i organizacji zadań w małym zespole, w krótkim przedziale czasu, skupionym na jednym zadaniu; </w:t>
            </w:r>
            <w:proofErr w:type="spellStart"/>
            <w:r>
              <w:rPr>
                <w:rFonts w:ascii="Arial CE" w:eastAsia="Arial CE" w:hAnsi="Arial CE" w:cs="Arial CE"/>
                <w:sz w:val="20"/>
                <w:szCs w:val="20"/>
              </w:rPr>
              <w:t>znajomośc</w:t>
            </w:r>
            <w:proofErr w:type="spellEnd"/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i umiejętność rozpoznawania podstawowych problemów pracy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 w małych grupach;</w:t>
            </w:r>
          </w:p>
        </w:tc>
        <w:tc>
          <w:tcPr>
            <w:tcW w:w="18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autoSpaceDE w:val="0"/>
              <w:snapToGrid w:val="0"/>
              <w:spacing w:after="0"/>
              <w:rPr>
                <w:rFonts w:ascii="Arial CE" w:eastAsia="Arial CE" w:hAnsi="Arial CE" w:cs="Arial CE"/>
                <w:sz w:val="20"/>
                <w:szCs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K_K02, K_K03</w:t>
            </w:r>
          </w:p>
        </w:tc>
      </w:tr>
    </w:tbl>
    <w:p w:rsidR="00E74D38" w:rsidRDefault="00E74D3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E74D38" w:rsidRDefault="0047506D">
      <w:pPr>
        <w:pStyle w:val="Akapitzlist"/>
        <w:spacing w:line="240" w:lineRule="auto"/>
        <w:ind w:left="426"/>
        <w:jc w:val="both"/>
      </w:pPr>
      <w:r>
        <w:rPr>
          <w:rFonts w:ascii="Corbel" w:hAnsi="Corbel" w:cs="Corbel"/>
          <w:b/>
          <w:sz w:val="24"/>
          <w:szCs w:val="24"/>
        </w:rPr>
        <w:t xml:space="preserve">3.3 Treści programowe </w:t>
      </w:r>
      <w:r>
        <w:rPr>
          <w:rFonts w:ascii="Corbel" w:hAnsi="Corbel" w:cs="Corbel"/>
          <w:sz w:val="24"/>
          <w:szCs w:val="24"/>
        </w:rPr>
        <w:t xml:space="preserve">  </w:t>
      </w:r>
    </w:p>
    <w:p w:rsidR="00E74D38" w:rsidRDefault="0047506D">
      <w:pPr>
        <w:pStyle w:val="Akapitzlist"/>
        <w:numPr>
          <w:ilvl w:val="0"/>
          <w:numId w:val="1"/>
        </w:numPr>
        <w:spacing w:after="120" w:line="240" w:lineRule="auto"/>
        <w:contextualSpacing/>
        <w:jc w:val="both"/>
        <w:rPr>
          <w:rFonts w:ascii="Corbel" w:hAnsi="Corbel" w:cs="Corbel"/>
          <w:sz w:val="24"/>
          <w:szCs w:val="24"/>
        </w:rPr>
      </w:pPr>
      <w:r>
        <w:rPr>
          <w:rFonts w:ascii="Corbel" w:hAnsi="Corbel" w:cs="Corbel"/>
          <w:sz w:val="24"/>
          <w:szCs w:val="24"/>
        </w:rPr>
        <w:t xml:space="preserve">Problematyka wykładu </w:t>
      </w:r>
    </w:p>
    <w:p w:rsidR="00E74D38" w:rsidRDefault="00E74D38">
      <w:pPr>
        <w:pStyle w:val="Akapitzlist"/>
        <w:spacing w:after="120" w:line="240" w:lineRule="auto"/>
        <w:ind w:left="1080"/>
        <w:contextualSpacing/>
        <w:jc w:val="both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30"/>
      </w:tblGrid>
      <w:tr w:rsidR="00E74D38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pStyle w:val="Akapitzlist"/>
              <w:spacing w:after="0" w:line="240" w:lineRule="auto"/>
              <w:ind w:left="-250" w:firstLine="25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E74D38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snapToGrid w:val="0"/>
              <w:spacing w:after="0" w:line="240" w:lineRule="auto"/>
              <w:rPr>
                <w:rFonts w:ascii="Corbel" w:hAnsi="Corbel" w:cs="Corbel"/>
                <w:sz w:val="24"/>
              </w:rPr>
            </w:pPr>
            <w:r>
              <w:rPr>
                <w:rFonts w:ascii="Corbel" w:hAnsi="Corbel" w:cs="Corbel"/>
                <w:sz w:val="24"/>
              </w:rPr>
              <w:t>materiał</w:t>
            </w:r>
            <w:r>
              <w:rPr>
                <w:rFonts w:ascii="Corbel" w:hAnsi="Corbel" w:cs="Corbel"/>
                <w:sz w:val="24"/>
              </w:rPr>
              <w:t xml:space="preserve"> wprowadzający: intencjonalność, </w:t>
            </w:r>
            <w:proofErr w:type="spellStart"/>
            <w:r>
              <w:rPr>
                <w:rFonts w:ascii="Corbel" w:hAnsi="Corbel" w:cs="Corbel"/>
                <w:sz w:val="24"/>
              </w:rPr>
              <w:t>semiintencjonalność</w:t>
            </w:r>
            <w:proofErr w:type="spellEnd"/>
            <w:r>
              <w:rPr>
                <w:rFonts w:ascii="Corbel" w:hAnsi="Corbel" w:cs="Corbel"/>
                <w:sz w:val="24"/>
              </w:rPr>
              <w:t xml:space="preserve"> i </w:t>
            </w:r>
            <w:proofErr w:type="spellStart"/>
            <w:r>
              <w:rPr>
                <w:rFonts w:ascii="Corbel" w:hAnsi="Corbel" w:cs="Corbel"/>
                <w:sz w:val="24"/>
              </w:rPr>
              <w:t>nieintencjonalność</w:t>
            </w:r>
            <w:proofErr w:type="spellEnd"/>
            <w:r>
              <w:rPr>
                <w:rFonts w:ascii="Corbel" w:hAnsi="Corbel" w:cs="Corbel"/>
                <w:sz w:val="24"/>
              </w:rPr>
              <w:t xml:space="preserve"> w komunikacji, modele komunikacyjne, złożoność zjawisk komunikacyjnych; zaburzenia w komunikacji, rola intencjonalności i </w:t>
            </w:r>
            <w:proofErr w:type="spellStart"/>
            <w:r>
              <w:rPr>
                <w:rFonts w:ascii="Corbel" w:hAnsi="Corbel" w:cs="Corbel"/>
                <w:sz w:val="24"/>
              </w:rPr>
              <w:t>semiintencjonalności</w:t>
            </w:r>
            <w:proofErr w:type="spellEnd"/>
            <w:r>
              <w:rPr>
                <w:rFonts w:ascii="Corbel" w:hAnsi="Corbel" w:cs="Corbel"/>
                <w:sz w:val="24"/>
              </w:rPr>
              <w:t xml:space="preserve"> odbiorcy.</w:t>
            </w:r>
          </w:p>
        </w:tc>
      </w:tr>
      <w:tr w:rsidR="00E74D38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numPr>
                <w:ilvl w:val="0"/>
                <w:numId w:val="2"/>
              </w:numPr>
              <w:autoSpaceDE w:val="0"/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Komunikacja ciałem - „mowa c</w:t>
            </w:r>
            <w:r>
              <w:rPr>
                <w:rFonts w:ascii="Arial" w:eastAsia="Arial" w:hAnsi="Arial" w:cs="Arial"/>
                <w:sz w:val="20"/>
              </w:rPr>
              <w:t xml:space="preserve">iała”.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Polisensoryczność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komunikacji. Zachowania gatunkowe, międzygatunkowe i kulturowe</w:t>
            </w:r>
          </w:p>
        </w:tc>
      </w:tr>
      <w:tr w:rsidR="00E74D38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</w:pPr>
            <w:r>
              <w:rPr>
                <w:rFonts w:ascii="Arial" w:eastAsia="Arial" w:hAnsi="Arial" w:cs="Arial"/>
                <w:sz w:val="20"/>
              </w:rPr>
              <w:t xml:space="preserve">Komunikacja ciałem – rytuały i sygnały komunikacyjne; sztuka i komunikacja. </w:t>
            </w:r>
          </w:p>
        </w:tc>
      </w:tr>
      <w:tr w:rsidR="00E74D38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Komunikacja w przestrzeni – podstawy analizy, przestrzeń budowana i przestrzeń zajmowana,</w:t>
            </w:r>
            <w:r>
              <w:rPr>
                <w:rFonts w:ascii="Arial" w:eastAsia="Arial" w:hAnsi="Arial" w:cs="Arial"/>
                <w:sz w:val="20"/>
              </w:rPr>
              <w:t xml:space="preserve"> strategie wobec przestrzeni, rytuały przestrzenne. Kategorie „otwartości” i „zamknięcia” w architekturze</w:t>
            </w:r>
          </w:p>
        </w:tc>
      </w:tr>
      <w:tr w:rsidR="00E74D38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 Komunikacja sygnałowa – znaki, emblematy, symbole i wskaźniki; postawy jako sygnały, emblematy i </w:t>
            </w:r>
            <w:r>
              <w:rPr>
                <w:rFonts w:ascii="Arial" w:eastAsia="Arial" w:hAnsi="Arial" w:cs="Arial"/>
                <w:sz w:val="20"/>
              </w:rPr>
              <w:lastRenderedPageBreak/>
              <w:t xml:space="preserve">symbole – komunikacja </w:t>
            </w:r>
            <w:r>
              <w:rPr>
                <w:rFonts w:ascii="Arial" w:eastAsia="Arial" w:hAnsi="Arial" w:cs="Arial"/>
                <w:sz w:val="20"/>
              </w:rPr>
              <w:t>przynależności/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nieprzynależności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i hierarchii, komunikacja sygnałowa uzgadniająca, sygnały stabilizacyjne (gesty, symbole, kody)</w:t>
            </w:r>
          </w:p>
        </w:tc>
      </w:tr>
      <w:tr w:rsidR="00E74D38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lastRenderedPageBreak/>
              <w:t xml:space="preserve">Komunikacja ruchu – kontrola ruchu w przestrzeni </w:t>
            </w:r>
          </w:p>
        </w:tc>
      </w:tr>
      <w:tr w:rsidR="00E74D38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Szkic terenowy i sytuacyjny, analiza planów i topografii przestrzennych, an</w:t>
            </w:r>
            <w:r>
              <w:rPr>
                <w:rFonts w:ascii="Arial" w:eastAsia="Arial" w:hAnsi="Arial" w:cs="Arial"/>
                <w:sz w:val="20"/>
              </w:rPr>
              <w:t>aliza scenariuszy ruchowych – przygotowanie do zajęć praktycznych</w:t>
            </w:r>
          </w:p>
          <w:p w:rsidR="00E74D38" w:rsidRDefault="0047506D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-  Zajęcia terenowe: 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 xml:space="preserve">praktyka szkicu sytuacyjnego, przestrzeń kontrolowana, wykonanie, analiza, komentarz </w:t>
            </w:r>
          </w:p>
          <w:p w:rsidR="00E74D38" w:rsidRDefault="0047506D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-  Zajęcia terenowe: komunikacja w ruchu zbiorowym, sygnalizacja i zarządzanie ruch</w:t>
            </w:r>
            <w:r>
              <w:rPr>
                <w:rFonts w:ascii="Arial CE" w:eastAsia="Arial CE" w:hAnsi="Arial CE" w:cs="Arial CE"/>
                <w:sz w:val="20"/>
                <w:szCs w:val="20"/>
              </w:rPr>
              <w:t>em, sytuacyjne strategie ruchowe intencjonalne i nieintencjonalne</w:t>
            </w:r>
          </w:p>
          <w:p w:rsidR="00E74D38" w:rsidRDefault="0047506D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 CE" w:eastAsia="Arial CE" w:hAnsi="Arial CE" w:cs="Arial CE"/>
                <w:sz w:val="20"/>
                <w:szCs w:val="20"/>
              </w:rPr>
              <w:t>-  Przygotowywanie raportów, praca z zapisem obserwacji</w:t>
            </w:r>
          </w:p>
        </w:tc>
      </w:tr>
      <w:tr w:rsidR="00E74D38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 xml:space="preserve">Tworzenie i analiza scenariuszy ruchowych,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rutynizacja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i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stereotypizacja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ruchu, kody ruchowe, praktyka i kreacja kodów ruchowych, syg</w:t>
            </w:r>
            <w:r>
              <w:rPr>
                <w:rFonts w:ascii="Arial" w:eastAsia="Arial" w:hAnsi="Arial" w:cs="Arial"/>
                <w:sz w:val="20"/>
              </w:rPr>
              <w:t xml:space="preserve">nalizacja ruchowa, analiza rutyny ruchu i rutyny komunikacyjnej, obserwacje i analiza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zachowań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rytualnych</w:t>
            </w:r>
          </w:p>
        </w:tc>
      </w:tr>
      <w:tr w:rsidR="00E74D38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proofErr w:type="spellStart"/>
            <w:r>
              <w:rPr>
                <w:rFonts w:ascii="Arial" w:eastAsia="Arial" w:hAnsi="Arial" w:cs="Arial"/>
                <w:sz w:val="20"/>
              </w:rPr>
              <w:t>Wielopoziomowość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 komunikacji – komunikaty jawne i ukryte, analiza na przykładach: retoryka ciała, reklama, teatr, film (retoryka filmu niemego, retor</w:t>
            </w:r>
            <w:r>
              <w:rPr>
                <w:rFonts w:ascii="Arial" w:eastAsia="Arial" w:hAnsi="Arial" w:cs="Arial"/>
                <w:sz w:val="20"/>
              </w:rPr>
              <w:t xml:space="preserve">yka filmu udźwiękowionego) i taniec </w:t>
            </w:r>
          </w:p>
        </w:tc>
      </w:tr>
      <w:tr w:rsidR="00E74D38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numPr>
                <w:ilvl w:val="0"/>
                <w:numId w:val="2"/>
              </w:numPr>
              <w:tabs>
                <w:tab w:val="left" w:pos="3229"/>
              </w:tabs>
              <w:autoSpaceDE w:val="0"/>
              <w:snapToGrid w:val="0"/>
              <w:spacing w:after="0" w:line="240" w:lineRule="auto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sz w:val="20"/>
              </w:rPr>
              <w:t>Strategie komunikacji przekierowanej uwagi – przykłady z reklamy i perswazji, analiza na przykładach</w:t>
            </w:r>
          </w:p>
        </w:tc>
      </w:tr>
    </w:tbl>
    <w:p w:rsidR="00E74D38" w:rsidRDefault="00E74D38">
      <w:pPr>
        <w:spacing w:after="0" w:line="240" w:lineRule="auto"/>
        <w:rPr>
          <w:rFonts w:ascii="Corbel" w:hAnsi="Corbel" w:cs="Corbel"/>
          <w:sz w:val="24"/>
          <w:szCs w:val="24"/>
        </w:rPr>
      </w:pPr>
    </w:p>
    <w:p w:rsidR="00E74D38" w:rsidRDefault="0047506D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cs="Corbel"/>
          <w:sz w:val="24"/>
          <w:szCs w:val="24"/>
          <w:highlight w:val="yellow"/>
        </w:rPr>
      </w:pPr>
      <w:r>
        <w:rPr>
          <w:rFonts w:ascii="Corbel" w:hAnsi="Corbel" w:cs="Corbel"/>
          <w:sz w:val="24"/>
          <w:szCs w:val="24"/>
          <w:highlight w:val="yellow"/>
        </w:rPr>
        <w:t xml:space="preserve">Problematyka ćwiczeń, konwersatoriów, laboratoriów, zajęć praktycznych </w:t>
      </w:r>
    </w:p>
    <w:p w:rsidR="00E74D38" w:rsidRDefault="00E74D38">
      <w:pPr>
        <w:pStyle w:val="Akapitzlist"/>
        <w:spacing w:line="240" w:lineRule="auto"/>
        <w:rPr>
          <w:rFonts w:ascii="Corbel" w:hAnsi="Corbel" w:cs="Corbel"/>
          <w:sz w:val="24"/>
          <w:szCs w:val="24"/>
        </w:rPr>
      </w:pP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30"/>
      </w:tblGrid>
      <w:tr w:rsidR="00E74D38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pStyle w:val="Akapitzlist"/>
              <w:spacing w:after="0" w:line="240" w:lineRule="auto"/>
              <w:ind w:left="708" w:hanging="708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Treści merytoryczne</w:t>
            </w:r>
          </w:p>
        </w:tc>
      </w:tr>
      <w:tr w:rsidR="00E74D38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E74D38">
            <w:pPr>
              <w:pStyle w:val="Akapitzlist"/>
              <w:snapToGrid w:val="0"/>
              <w:spacing w:after="0" w:line="240" w:lineRule="auto"/>
              <w:rPr>
                <w:rFonts w:ascii="Corbel" w:hAnsi="Corbel" w:cs="Corbel"/>
                <w:sz w:val="24"/>
              </w:rPr>
            </w:pPr>
          </w:p>
        </w:tc>
      </w:tr>
      <w:tr w:rsidR="00E74D38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E74D38">
            <w:pPr>
              <w:pStyle w:val="Akapitzlist"/>
              <w:snapToGrid w:val="0"/>
              <w:spacing w:after="0" w:line="240" w:lineRule="auto"/>
              <w:rPr>
                <w:rFonts w:ascii="Corbel" w:hAnsi="Corbel" w:cs="Corbel"/>
                <w:sz w:val="24"/>
              </w:rPr>
            </w:pPr>
          </w:p>
        </w:tc>
      </w:tr>
      <w:tr w:rsidR="00E74D38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E74D38">
            <w:pPr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E74D38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E74D38">
            <w:pPr>
              <w:snapToGrid w:val="0"/>
              <w:spacing w:after="0" w:line="240" w:lineRule="auto"/>
              <w:rPr>
                <w:rFonts w:ascii="Arial" w:hAnsi="Arial"/>
                <w:sz w:val="20"/>
                <w:szCs w:val="20"/>
              </w:rPr>
            </w:pPr>
          </w:p>
        </w:tc>
      </w:tr>
      <w:tr w:rsidR="00E74D38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E74D38">
            <w:pPr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E74D38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E74D38">
            <w:pPr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E74D38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E74D38">
            <w:pPr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E74D38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E74D38">
            <w:pPr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  <w:tr w:rsidR="00E74D38">
        <w:tc>
          <w:tcPr>
            <w:tcW w:w="95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E74D38">
            <w:pPr>
              <w:snapToGrid w:val="0"/>
              <w:spacing w:after="0" w:line="240" w:lineRule="auto"/>
              <w:rPr>
                <w:rFonts w:ascii="Arial CE" w:eastAsia="Arial CE" w:hAnsi="Arial CE" w:cs="Arial CE"/>
                <w:sz w:val="20"/>
                <w:szCs w:val="20"/>
              </w:rPr>
            </w:pPr>
          </w:p>
        </w:tc>
      </w:tr>
    </w:tbl>
    <w:p w:rsidR="00E74D38" w:rsidRDefault="00E74D38">
      <w:pPr>
        <w:pStyle w:val="Punktygwne"/>
        <w:spacing w:before="0" w:after="0"/>
        <w:rPr>
          <w:rFonts w:ascii="Corbel" w:hAnsi="Corbel" w:cs="Corbel"/>
          <w:b w:val="0"/>
          <w:szCs w:val="24"/>
        </w:rPr>
      </w:pPr>
    </w:p>
    <w:p w:rsidR="00E74D38" w:rsidRDefault="0047506D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3.4 Metody dydaktyczne</w:t>
      </w:r>
    </w:p>
    <w:p w:rsidR="00E74D38" w:rsidRDefault="00E74D3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E74D38" w:rsidRDefault="00E74D38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szCs w:val="24"/>
        </w:rPr>
      </w:pPr>
    </w:p>
    <w:p w:rsidR="00E74D38" w:rsidRDefault="0047506D">
      <w:pPr>
        <w:pStyle w:val="Punktygwne"/>
        <w:spacing w:before="0" w:after="0"/>
        <w:jc w:val="both"/>
      </w:pPr>
      <w:r>
        <w:rPr>
          <w:rFonts w:ascii="Corbel" w:hAnsi="Corbel" w:cs="Corbel"/>
          <w:b w:val="0"/>
          <w:smallCaps w:val="0"/>
          <w:sz w:val="20"/>
          <w:szCs w:val="20"/>
        </w:rPr>
        <w:t>Np</w:t>
      </w:r>
      <w:r>
        <w:rPr>
          <w:rFonts w:ascii="Corbel" w:hAnsi="Corbel" w:cs="Corbel"/>
          <w:sz w:val="20"/>
          <w:szCs w:val="20"/>
        </w:rPr>
        <w:t xml:space="preserve">.: </w:t>
      </w:r>
    </w:p>
    <w:p w:rsidR="00E74D38" w:rsidRDefault="0047506D">
      <w:pPr>
        <w:pStyle w:val="Punktygwne"/>
        <w:spacing w:before="0" w:after="0"/>
        <w:jc w:val="both"/>
      </w:pPr>
      <w:r>
        <w:rPr>
          <w:rFonts w:ascii="Corbel" w:eastAsia="Corbel" w:hAnsi="Corbel" w:cs="Corbel"/>
          <w:b w:val="0"/>
          <w:i/>
          <w:sz w:val="20"/>
          <w:szCs w:val="20"/>
        </w:rPr>
        <w:t xml:space="preserve">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Wykład: </w:t>
      </w:r>
      <w:r>
        <w:rPr>
          <w:rFonts w:ascii="Corbel" w:hAnsi="Corbel" w:cs="Corbel"/>
          <w:bCs/>
          <w:i/>
          <w:smallCaps w:val="0"/>
          <w:sz w:val="20"/>
          <w:szCs w:val="20"/>
        </w:rPr>
        <w:t>wykład problemowy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, </w:t>
      </w:r>
      <w:r>
        <w:rPr>
          <w:rFonts w:ascii="Corbel" w:hAnsi="Corbel" w:cs="Corbel"/>
          <w:bCs/>
          <w:i/>
          <w:smallCaps w:val="0"/>
          <w:sz w:val="20"/>
          <w:szCs w:val="20"/>
        </w:rPr>
        <w:t>wykład z prezentacją multimedialną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, metody kształcenia na odległość </w:t>
      </w:r>
    </w:p>
    <w:p w:rsidR="00E74D38" w:rsidRDefault="0047506D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Ćwiczenia: </w:t>
      </w:r>
      <w:r>
        <w:rPr>
          <w:rFonts w:ascii="Corbel" w:hAnsi="Corbel" w:cs="Corbel"/>
          <w:bCs/>
          <w:i/>
          <w:smallCaps w:val="0"/>
          <w:sz w:val="20"/>
          <w:szCs w:val="20"/>
        </w:rPr>
        <w:t xml:space="preserve">analiza tekstów z dyskusją, metoda projektów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(projekt badawczy, wdrożeniowy, praktyczny), </w:t>
      </w:r>
      <w:r>
        <w:rPr>
          <w:rFonts w:ascii="Corbel" w:hAnsi="Corbel" w:cs="Corbel"/>
          <w:bCs/>
          <w:i/>
          <w:smallCaps w:val="0"/>
          <w:sz w:val="20"/>
          <w:szCs w:val="20"/>
        </w:rPr>
        <w:t xml:space="preserve">praca w grupach </w:t>
      </w: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(rozwiązywanie zadań, dyskusja),gry dydaktyczne, metody kształcenia na odległość </w:t>
      </w:r>
    </w:p>
    <w:p w:rsidR="00E74D38" w:rsidRDefault="0047506D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0"/>
          <w:szCs w:val="20"/>
        </w:rPr>
      </w:pPr>
      <w:r>
        <w:rPr>
          <w:rFonts w:ascii="Corbel" w:hAnsi="Corbel" w:cs="Corbel"/>
          <w:b w:val="0"/>
          <w:i/>
          <w:smallCaps w:val="0"/>
          <w:sz w:val="20"/>
          <w:szCs w:val="20"/>
        </w:rPr>
        <w:t xml:space="preserve">Laboratorium: wykonywanie doświadczeń, projektowanie doświadczeń </w:t>
      </w:r>
    </w:p>
    <w:p w:rsidR="00E74D38" w:rsidRDefault="00E74D3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E74D38" w:rsidRDefault="00E74D3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E74D38" w:rsidRDefault="00E74D3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E74D38" w:rsidRDefault="00E74D3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E74D38" w:rsidRDefault="00E74D3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E74D38" w:rsidRDefault="0047506D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 METODY I KRYTERIA OCENY </w:t>
      </w:r>
    </w:p>
    <w:p w:rsidR="00E74D38" w:rsidRDefault="00E74D38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Cs w:val="24"/>
        </w:rPr>
      </w:pPr>
    </w:p>
    <w:p w:rsidR="00E74D38" w:rsidRDefault="0047506D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4.1 Sposoby weryfikacji efektów uczenia się</w:t>
      </w:r>
    </w:p>
    <w:p w:rsidR="00E74D38" w:rsidRDefault="00E74D3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1962"/>
        <w:gridCol w:w="5440"/>
        <w:gridCol w:w="2128"/>
      </w:tblGrid>
      <w:tr w:rsidR="00E74D38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Metody oceny ef</w:t>
            </w: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ektów uczenia się</w:t>
            </w:r>
          </w:p>
          <w:p w:rsidR="00E74D38" w:rsidRDefault="0047506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E74D38" w:rsidRDefault="0047506D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 w:cs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 w:cs="Corbel"/>
                <w:b w:val="0"/>
                <w:smallCaps w:val="0"/>
                <w:szCs w:val="24"/>
              </w:rPr>
              <w:t>, …)</w:t>
            </w:r>
          </w:p>
        </w:tc>
      </w:tr>
      <w:tr w:rsidR="00E74D38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 01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pStyle w:val="Punktygwne"/>
              <w:snapToGrid w:val="0"/>
              <w:spacing w:before="0" w:after="0"/>
            </w:pPr>
            <w:r>
              <w:rPr>
                <w:b w:val="0"/>
                <w:sz w:val="22"/>
              </w:rPr>
              <w:t>Ocena ciągła, obserwacja pracy w grupach i aktywności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pStyle w:val="Punktygwne"/>
              <w:snapToGrid w:val="0"/>
              <w:spacing w:before="0" w:after="0"/>
            </w:pPr>
            <w:r>
              <w:rPr>
                <w:b w:val="0"/>
                <w:sz w:val="22"/>
              </w:rPr>
              <w:t>K</w:t>
            </w:r>
          </w:p>
        </w:tc>
      </w:tr>
      <w:tr w:rsidR="00E74D38">
        <w:trPr>
          <w:trHeight w:val="2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EK_02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Realizacja zadań i ćwiczeń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K</w:t>
            </w:r>
          </w:p>
        </w:tc>
      </w:tr>
      <w:tr w:rsidR="00E74D38">
        <w:trPr>
          <w:trHeight w:val="230"/>
        </w:trPr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pStyle w:val="Punktygwne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lastRenderedPageBreak/>
              <w:t>EK_03-04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Realizacja mikroprojektu</w:t>
            </w:r>
          </w:p>
        </w:tc>
        <w:tc>
          <w:tcPr>
            <w:tcW w:w="21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zCs w:val="24"/>
              </w:rPr>
            </w:pPr>
            <w:r>
              <w:rPr>
                <w:rFonts w:ascii="Corbel" w:hAnsi="Corbel" w:cs="Corbel"/>
                <w:b w:val="0"/>
                <w:szCs w:val="24"/>
              </w:rPr>
              <w:t>K</w:t>
            </w:r>
          </w:p>
        </w:tc>
      </w:tr>
    </w:tbl>
    <w:p w:rsidR="00E74D38" w:rsidRDefault="00E74D3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E74D38" w:rsidRDefault="0047506D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4.2 Warunki zaliczenia przedmiotu (kryteria oceniania) </w:t>
      </w:r>
    </w:p>
    <w:p w:rsidR="00E74D38" w:rsidRDefault="00E74D38">
      <w:pPr>
        <w:pStyle w:val="Punktygwne"/>
        <w:spacing w:before="0" w:after="0"/>
        <w:ind w:left="426"/>
        <w:rPr>
          <w:rFonts w:ascii="Corbel" w:hAnsi="Corbel" w:cs="Corbel"/>
          <w:smallCaps w:val="0"/>
          <w:szCs w:val="24"/>
        </w:rPr>
      </w:pPr>
    </w:p>
    <w:tbl>
      <w:tblPr>
        <w:tblW w:w="9530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9530"/>
      </w:tblGrid>
      <w:tr w:rsidR="00E74D38">
        <w:tc>
          <w:tcPr>
            <w:tcW w:w="9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numPr>
                <w:ilvl w:val="0"/>
                <w:numId w:val="2"/>
              </w:numPr>
              <w:snapToGrid w:val="0"/>
            </w:pPr>
            <w:r>
              <w:t>Ocena aktywności na zajęciach (udział w dyskusji, opanowanie materiału);</w:t>
            </w:r>
          </w:p>
          <w:p w:rsidR="00E74D38" w:rsidRDefault="0047506D">
            <w:pPr>
              <w:numPr>
                <w:ilvl w:val="0"/>
                <w:numId w:val="2"/>
              </w:numPr>
              <w:snapToGrid w:val="0"/>
              <w:spacing w:after="0"/>
              <w:rPr>
                <w:rFonts w:ascii="Corbel" w:hAnsi="Corbel" w:cs="Corbel"/>
                <w:szCs w:val="24"/>
              </w:rPr>
            </w:pPr>
            <w:r>
              <w:rPr>
                <w:rFonts w:ascii="Corbel" w:hAnsi="Corbel" w:cs="Corbel"/>
                <w:szCs w:val="24"/>
              </w:rPr>
              <w:t xml:space="preserve">Wykonanie pracy zaliczeniowej (samodzielna prezentacja wykonanej obserwacji i jej </w:t>
            </w:r>
            <w:r>
              <w:rPr>
                <w:rFonts w:ascii="Corbel" w:hAnsi="Corbel" w:cs="Corbel"/>
                <w:szCs w:val="24"/>
              </w:rPr>
              <w:t>analizy w oparciu o materiał teoretyczny przedstawiany na zajęciach) w 2-3 os. grupie;</w:t>
            </w:r>
          </w:p>
          <w:p w:rsidR="00E74D38" w:rsidRDefault="0047506D">
            <w:pPr>
              <w:snapToGrid w:val="0"/>
            </w:pPr>
            <w:r>
              <w:t>dobór materiału obserwacyjnego;</w:t>
            </w:r>
          </w:p>
          <w:p w:rsidR="00E74D38" w:rsidRDefault="0047506D">
            <w:pPr>
              <w:snapToGrid w:val="0"/>
            </w:pPr>
            <w:r>
              <w:t>ocena pracy wspólnej studentów:</w:t>
            </w:r>
          </w:p>
          <w:p w:rsidR="00E74D38" w:rsidRDefault="0047506D">
            <w:pPr>
              <w:snapToGrid w:val="0"/>
            </w:pPr>
            <w:r>
              <w:t>a) podział zajęć w grupie, b) prezentacja,</w:t>
            </w:r>
          </w:p>
          <w:p w:rsidR="00E74D38" w:rsidRDefault="0047506D">
            <w:pPr>
              <w:snapToGrid w:val="0"/>
              <w:spacing w:after="0"/>
              <w:rPr>
                <w:rFonts w:ascii="Corbel" w:eastAsia="Arial" w:hAnsi="Corbel" w:cs="Corbel"/>
                <w:szCs w:val="24"/>
              </w:rPr>
            </w:pPr>
            <w:r>
              <w:rPr>
                <w:rFonts w:ascii="Corbel" w:eastAsia="Arial" w:hAnsi="Corbel" w:cs="Corbel"/>
                <w:szCs w:val="24"/>
              </w:rPr>
              <w:t>c) przygotowane materiały i ich opracowanie</w:t>
            </w:r>
          </w:p>
          <w:p w:rsidR="00E74D38" w:rsidRDefault="00E74D38">
            <w:pPr>
              <w:pStyle w:val="Punktygwne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  <w:p w:rsidR="00E74D38" w:rsidRDefault="00E74D3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E74D38" w:rsidRDefault="00E74D38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E74D38" w:rsidRDefault="00E74D3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E74D38" w:rsidRDefault="0047506D">
      <w:pPr>
        <w:pStyle w:val="Bezodstpw"/>
        <w:ind w:left="284" w:hanging="284"/>
        <w:jc w:val="both"/>
        <w:rPr>
          <w:rFonts w:ascii="Corbel" w:hAnsi="Corbel" w:cs="Corbel"/>
          <w:b/>
          <w:sz w:val="24"/>
          <w:szCs w:val="24"/>
        </w:rPr>
      </w:pPr>
      <w:r>
        <w:rPr>
          <w:rFonts w:ascii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="00E74D38" w:rsidRDefault="00E74D3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tbl>
      <w:tblPr>
        <w:tblW w:w="9529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4901"/>
        <w:gridCol w:w="4628"/>
      </w:tblGrid>
      <w:tr w:rsidR="00E74D38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74D38" w:rsidRDefault="0047506D">
            <w:pPr>
              <w:pStyle w:val="Akapitzlist"/>
              <w:spacing w:after="0" w:line="240" w:lineRule="auto"/>
              <w:ind w:left="0"/>
              <w:contextualSpacing/>
              <w:jc w:val="center"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74D38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pStyle w:val="Akapitzlist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Godziny z harmonogramu studiów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pStyle w:val="Akapitzlist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30</w:t>
            </w:r>
          </w:p>
        </w:tc>
      </w:tr>
      <w:tr w:rsidR="00E74D38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pStyle w:val="Akapitzlist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Inne z udziałem nauczyciela akademickiego</w:t>
            </w:r>
          </w:p>
          <w:p w:rsidR="00E74D38" w:rsidRDefault="0047506D">
            <w:pPr>
              <w:pStyle w:val="Akapitzlist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pStyle w:val="Akapitzlist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</w:t>
            </w:r>
          </w:p>
        </w:tc>
      </w:tr>
      <w:tr w:rsidR="00E74D38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pStyle w:val="Akapitzlist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hAnsi="Corbel" w:cs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hAnsi="Corbel" w:cs="Corbel"/>
                <w:sz w:val="24"/>
                <w:szCs w:val="24"/>
              </w:rPr>
              <w:t xml:space="preserve"> – praca własna studenta</w:t>
            </w:r>
          </w:p>
          <w:p w:rsidR="00E74D38" w:rsidRDefault="0047506D">
            <w:pPr>
              <w:pStyle w:val="Akapitzlist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pStyle w:val="Akapitzlist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20 (lektury)</w:t>
            </w:r>
          </w:p>
          <w:p w:rsidR="00E74D38" w:rsidRDefault="0047506D">
            <w:pPr>
              <w:pStyle w:val="Akapitzlist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5 (ćwiczenia)</w:t>
            </w:r>
          </w:p>
          <w:p w:rsidR="00E74D38" w:rsidRDefault="0047506D">
            <w:pPr>
              <w:pStyle w:val="Akapitzlist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8 (praca w terenie)</w:t>
            </w:r>
          </w:p>
          <w:p w:rsidR="00E74D38" w:rsidRDefault="0047506D">
            <w:pPr>
              <w:pStyle w:val="Akapitzlist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 (analiza materiału)</w:t>
            </w:r>
          </w:p>
        </w:tc>
      </w:tr>
      <w:tr w:rsidR="00E74D38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pStyle w:val="Akapitzlist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pStyle w:val="Akapitzlist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70</w:t>
            </w:r>
          </w:p>
        </w:tc>
      </w:tr>
      <w:tr w:rsidR="00E74D38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pStyle w:val="Akapitzlist"/>
              <w:spacing w:after="0" w:line="240" w:lineRule="auto"/>
              <w:ind w:left="0"/>
              <w:contextualSpacing/>
              <w:rPr>
                <w:rFonts w:ascii="Corbel" w:hAnsi="Corbel" w:cs="Corbel"/>
                <w:b/>
                <w:sz w:val="24"/>
                <w:szCs w:val="24"/>
              </w:rPr>
            </w:pPr>
            <w:r>
              <w:rPr>
                <w:rFonts w:ascii="Corbel" w:hAnsi="Corbel" w:cs="Corbel"/>
                <w:b/>
                <w:sz w:val="24"/>
                <w:szCs w:val="24"/>
              </w:rPr>
              <w:t xml:space="preserve">SUMARYCZNA LICZBA </w:t>
            </w:r>
            <w:r>
              <w:rPr>
                <w:rFonts w:ascii="Corbel" w:hAnsi="Corbel" w:cs="Corbel"/>
                <w:b/>
                <w:sz w:val="24"/>
                <w:szCs w:val="24"/>
              </w:rPr>
              <w:t>PUNKTÓW ECTS</w:t>
            </w:r>
          </w:p>
        </w:tc>
        <w:tc>
          <w:tcPr>
            <w:tcW w:w="4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pStyle w:val="Akapitzlist"/>
              <w:snapToGrid w:val="0"/>
              <w:spacing w:after="0" w:line="240" w:lineRule="auto"/>
              <w:ind w:left="0"/>
              <w:contextualSpacing/>
              <w:rPr>
                <w:rFonts w:ascii="Corbel" w:hAnsi="Corbel" w:cs="Corbel"/>
                <w:sz w:val="24"/>
                <w:szCs w:val="24"/>
              </w:rPr>
            </w:pPr>
            <w:r>
              <w:rPr>
                <w:rFonts w:ascii="Corbel" w:hAnsi="Corbel" w:cs="Corbel"/>
                <w:sz w:val="24"/>
                <w:szCs w:val="24"/>
              </w:rPr>
              <w:t>2</w:t>
            </w:r>
          </w:p>
        </w:tc>
      </w:tr>
    </w:tbl>
    <w:p w:rsidR="00E74D38" w:rsidRDefault="0047506D">
      <w:pPr>
        <w:pStyle w:val="Punktygwne"/>
        <w:spacing w:before="0" w:after="0"/>
        <w:ind w:left="426"/>
        <w:rPr>
          <w:rFonts w:ascii="Corbel" w:hAnsi="Corbel" w:cs="Corbel"/>
          <w:b w:val="0"/>
          <w:i/>
          <w:smallCaps w:val="0"/>
          <w:szCs w:val="24"/>
        </w:rPr>
      </w:pPr>
      <w:r>
        <w:rPr>
          <w:rFonts w:ascii="Corbel" w:hAnsi="Corbel" w:cs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E74D38" w:rsidRDefault="00E74D38">
      <w:pPr>
        <w:pStyle w:val="Punktygwne"/>
        <w:spacing w:before="0" w:after="0"/>
        <w:rPr>
          <w:rFonts w:ascii="Corbel" w:hAnsi="Corbel" w:cs="Corbel"/>
          <w:b w:val="0"/>
          <w:smallCaps w:val="0"/>
          <w:szCs w:val="24"/>
        </w:rPr>
      </w:pPr>
    </w:p>
    <w:p w:rsidR="00E74D38" w:rsidRDefault="0047506D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>6. PRAKTYKI ZAWODOWE W RAMACH PRZEDMIOTU</w:t>
      </w:r>
    </w:p>
    <w:p w:rsidR="00E74D38" w:rsidRDefault="00E74D38">
      <w:pPr>
        <w:pStyle w:val="Punktygwne"/>
        <w:spacing w:before="0" w:after="0"/>
        <w:ind w:left="360"/>
        <w:rPr>
          <w:rFonts w:ascii="Corbel" w:hAnsi="Corbel" w:cs="Corbel"/>
          <w:smallCaps w:val="0"/>
          <w:szCs w:val="24"/>
        </w:rPr>
      </w:pPr>
    </w:p>
    <w:tbl>
      <w:tblPr>
        <w:tblW w:w="7522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000" w:firstRow="0" w:lastRow="0" w:firstColumn="0" w:lastColumn="0" w:noHBand="0" w:noVBand="0"/>
      </w:tblPr>
      <w:tblGrid>
        <w:gridCol w:w="3543"/>
        <w:gridCol w:w="3979"/>
      </w:tblGrid>
      <w:tr w:rsidR="00E74D38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E74D38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Cs w:val="24"/>
              </w:rPr>
            </w:pPr>
          </w:p>
        </w:tc>
      </w:tr>
      <w:tr w:rsidR="00E74D38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74D38" w:rsidRDefault="0047506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E74D38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</w:tc>
      </w:tr>
    </w:tbl>
    <w:p w:rsidR="00E74D38" w:rsidRDefault="00E74D3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E74D38" w:rsidRDefault="0047506D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  <w:r>
        <w:rPr>
          <w:rFonts w:ascii="Corbel" w:hAnsi="Corbel" w:cs="Corbel"/>
          <w:smallCaps w:val="0"/>
          <w:szCs w:val="24"/>
        </w:rPr>
        <w:t xml:space="preserve">7. LITERATURA </w:t>
      </w:r>
    </w:p>
    <w:p w:rsidR="00E74D38" w:rsidRDefault="00E74D38">
      <w:pPr>
        <w:pStyle w:val="Punktygwne"/>
        <w:spacing w:before="0" w:after="0"/>
        <w:rPr>
          <w:rFonts w:ascii="Corbel" w:hAnsi="Corbel" w:cs="Corbel"/>
          <w:smallCaps w:val="0"/>
          <w:szCs w:val="24"/>
        </w:rPr>
      </w:pPr>
    </w:p>
    <w:tbl>
      <w:tblPr>
        <w:tblW w:w="7523" w:type="dxa"/>
        <w:tblInd w:w="6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7523"/>
      </w:tblGrid>
      <w:tr w:rsidR="00E74D38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t>Literatura podstawowa:</w:t>
            </w:r>
          </w:p>
          <w:p w:rsidR="00E74D38" w:rsidRDefault="00E74D38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E74D38" w:rsidRDefault="00E74D38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</w:p>
          <w:p w:rsidR="00E74D38" w:rsidRDefault="0047506D">
            <w:pPr>
              <w:numPr>
                <w:ilvl w:val="0"/>
                <w:numId w:val="3"/>
              </w:numPr>
              <w:autoSpaceDE w:val="0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eastAsia="Arial CE" w:hAnsi="Arial"/>
                <w:sz w:val="20"/>
                <w:szCs w:val="20"/>
              </w:rPr>
              <w:t>Winkin</w:t>
            </w:r>
            <w:proofErr w:type="spellEnd"/>
            <w:r>
              <w:rPr>
                <w:rFonts w:ascii="Arial" w:eastAsia="Arial CE" w:hAnsi="Arial"/>
                <w:sz w:val="20"/>
                <w:szCs w:val="20"/>
              </w:rPr>
              <w:t xml:space="preserve"> Y.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Antropologia komunikacji. Od teorii do badań terenowych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tł. A. Karpowicz, </w:t>
            </w:r>
            <w:proofErr w:type="spellStart"/>
            <w:r>
              <w:rPr>
                <w:rFonts w:ascii="Arial" w:eastAsia="Arial CE" w:hAnsi="Arial"/>
                <w:sz w:val="20"/>
                <w:szCs w:val="20"/>
              </w:rPr>
              <w:t>wst</w:t>
            </w:r>
            <w:proofErr w:type="spellEnd"/>
            <w:r>
              <w:rPr>
                <w:rFonts w:ascii="Arial" w:eastAsia="Arial CE" w:hAnsi="Arial"/>
                <w:sz w:val="20"/>
                <w:szCs w:val="20"/>
              </w:rPr>
              <w:t xml:space="preserve">. W. Burszta, Wydawnictwo Uniwersytetu Warszawskiego, </w:t>
            </w:r>
            <w:r>
              <w:rPr>
                <w:rFonts w:ascii="Arial" w:eastAsia="Arial CE" w:hAnsi="Arial"/>
                <w:sz w:val="20"/>
                <w:szCs w:val="20"/>
              </w:rPr>
              <w:lastRenderedPageBreak/>
              <w:t>Warszawa 2007</w:t>
            </w:r>
          </w:p>
          <w:p w:rsidR="00E74D38" w:rsidRDefault="0047506D">
            <w:pPr>
              <w:numPr>
                <w:ilvl w:val="0"/>
                <w:numId w:val="3"/>
              </w:numPr>
              <w:autoSpaceDE w:val="0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eastAsia="Arial CE" w:hAnsi="Arial"/>
                <w:sz w:val="20"/>
                <w:szCs w:val="20"/>
              </w:rPr>
              <w:t>Goffman</w:t>
            </w:r>
            <w:proofErr w:type="spellEnd"/>
            <w:r>
              <w:rPr>
                <w:rFonts w:ascii="Arial" w:eastAsia="Arial CE" w:hAnsi="Arial"/>
                <w:sz w:val="20"/>
                <w:szCs w:val="20"/>
              </w:rPr>
              <w:t xml:space="preserve">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Człowiek w teatrze życia codziennego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</w:t>
            </w:r>
          </w:p>
          <w:p w:rsidR="00E74D38" w:rsidRPr="0036582D" w:rsidRDefault="0047506D">
            <w:pPr>
              <w:numPr>
                <w:ilvl w:val="0"/>
                <w:numId w:val="3"/>
              </w:numPr>
              <w:autoSpaceDE w:val="0"/>
              <w:rPr>
                <w:rFonts w:ascii="Arial" w:hAnsi="Arial"/>
                <w:sz w:val="20"/>
                <w:szCs w:val="20"/>
                <w:lang w:val="en-GB"/>
              </w:rPr>
            </w:pPr>
            <w:r w:rsidRPr="0036582D">
              <w:rPr>
                <w:rFonts w:ascii="Arial" w:eastAsia="Arial CE" w:hAnsi="Arial"/>
                <w:sz w:val="20"/>
                <w:szCs w:val="20"/>
                <w:lang w:val="en-GB"/>
              </w:rPr>
              <w:t xml:space="preserve">Bourdieu P. </w:t>
            </w:r>
            <w:r w:rsidRPr="0036582D">
              <w:rPr>
                <w:rFonts w:ascii="Arial" w:eastAsia="Arial CE" w:hAnsi="Arial"/>
                <w:i/>
                <w:iCs/>
                <w:sz w:val="20"/>
                <w:szCs w:val="20"/>
                <w:lang w:val="en-GB"/>
              </w:rPr>
              <w:t>Social space and symbolic power</w:t>
            </w:r>
            <w:r w:rsidRPr="0036582D">
              <w:rPr>
                <w:rFonts w:ascii="Arial" w:eastAsia="Arial CE" w:hAnsi="Arial"/>
                <w:sz w:val="20"/>
                <w:szCs w:val="20"/>
                <w:lang w:val="en-GB"/>
              </w:rPr>
              <w:t>, "Sociolo</w:t>
            </w:r>
            <w:r w:rsidRPr="0036582D">
              <w:rPr>
                <w:rFonts w:ascii="Arial" w:eastAsia="Arial CE" w:hAnsi="Arial"/>
                <w:sz w:val="20"/>
                <w:szCs w:val="20"/>
                <w:lang w:val="en-GB"/>
              </w:rPr>
              <w:t>gical theory" 1989 7(1):14-25 (</w:t>
            </w:r>
            <w:proofErr w:type="spellStart"/>
            <w:r w:rsidRPr="0036582D">
              <w:rPr>
                <w:rFonts w:ascii="Arial" w:eastAsia="Arial CE" w:hAnsi="Arial"/>
                <w:sz w:val="20"/>
                <w:szCs w:val="20"/>
                <w:lang w:val="en-GB"/>
              </w:rPr>
              <w:t>dostepne</w:t>
            </w:r>
            <w:proofErr w:type="spellEnd"/>
            <w:r w:rsidRPr="0036582D">
              <w:rPr>
                <w:rFonts w:ascii="Arial" w:eastAsia="Arial CE" w:hAnsi="Arial"/>
                <w:sz w:val="20"/>
                <w:szCs w:val="20"/>
                <w:lang w:val="en-GB"/>
              </w:rPr>
              <w:t xml:space="preserve"> u </w:t>
            </w:r>
            <w:proofErr w:type="spellStart"/>
            <w:r w:rsidRPr="0036582D">
              <w:rPr>
                <w:rFonts w:ascii="Arial" w:eastAsia="Arial CE" w:hAnsi="Arial"/>
                <w:sz w:val="20"/>
                <w:szCs w:val="20"/>
                <w:lang w:val="en-GB"/>
              </w:rPr>
              <w:t>prowadzącego</w:t>
            </w:r>
            <w:proofErr w:type="spellEnd"/>
            <w:r w:rsidRPr="0036582D">
              <w:rPr>
                <w:rFonts w:ascii="Arial" w:eastAsia="Arial CE" w:hAnsi="Arial"/>
                <w:sz w:val="20"/>
                <w:szCs w:val="20"/>
                <w:lang w:val="en-GB"/>
              </w:rPr>
              <w:t>)</w:t>
            </w:r>
          </w:p>
          <w:p w:rsidR="00E74D38" w:rsidRDefault="0047506D">
            <w:pPr>
              <w:numPr>
                <w:ilvl w:val="0"/>
                <w:numId w:val="3"/>
              </w:numPr>
              <w:autoSpaceDE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Eliade M. 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Świat, miasto, dom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„Znak” 1991 nr 12. </w:t>
            </w:r>
          </w:p>
          <w:p w:rsidR="00E74D38" w:rsidRDefault="0047506D">
            <w:pPr>
              <w:numPr>
                <w:ilvl w:val="0"/>
                <w:numId w:val="3"/>
              </w:numPr>
              <w:autoSpaceDE w:val="0"/>
              <w:snapToGrid w:val="0"/>
              <w:spacing w:after="0"/>
              <w:rPr>
                <w:rFonts w:ascii="Arial" w:hAnsi="Arial" w:cs="Corbe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Eco U.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Pejzaż semiotyczny</w:t>
            </w:r>
            <w:r>
              <w:rPr>
                <w:rFonts w:ascii="Arial" w:eastAsia="Arial CE" w:hAnsi="Arial"/>
                <w:sz w:val="20"/>
                <w:szCs w:val="20"/>
              </w:rPr>
              <w:t>, Warszawa 1972</w:t>
            </w:r>
          </w:p>
          <w:p w:rsidR="00E74D38" w:rsidRDefault="00E74D38">
            <w:pPr>
              <w:pStyle w:val="Punktygwne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  <w:p w:rsidR="00E74D38" w:rsidRDefault="00E74D38">
            <w:pPr>
              <w:pStyle w:val="Punktygwne"/>
              <w:snapToGrid w:val="0"/>
              <w:spacing w:before="0" w:after="0"/>
              <w:rPr>
                <w:rFonts w:ascii="Corbel" w:hAnsi="Corbel" w:cs="Corbel"/>
                <w:sz w:val="22"/>
              </w:rPr>
            </w:pPr>
          </w:p>
        </w:tc>
      </w:tr>
      <w:tr w:rsidR="00E74D38">
        <w:trPr>
          <w:trHeight w:val="397"/>
        </w:trPr>
        <w:tc>
          <w:tcPr>
            <w:tcW w:w="7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74D38" w:rsidRDefault="0047506D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Cs w:val="24"/>
              </w:rPr>
            </w:pPr>
            <w:r>
              <w:rPr>
                <w:rFonts w:ascii="Corbel" w:hAnsi="Corbel" w:cs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E74D38" w:rsidRDefault="0047506D">
            <w:pPr>
              <w:numPr>
                <w:ilvl w:val="0"/>
                <w:numId w:val="4"/>
              </w:numPr>
              <w:autoSpaceDE w:val="0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eastAsia="Arial CE" w:hAnsi="Arial"/>
                <w:sz w:val="20"/>
                <w:szCs w:val="20"/>
              </w:rPr>
              <w:t>Goffman</w:t>
            </w:r>
            <w:proofErr w:type="spellEnd"/>
            <w:r>
              <w:rPr>
                <w:rFonts w:ascii="Arial" w:eastAsia="Arial CE" w:hAnsi="Arial"/>
                <w:sz w:val="20"/>
                <w:szCs w:val="20"/>
              </w:rPr>
              <w:t xml:space="preserve"> E.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Pietno. Rozważania o zranionej tożsamości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tł. A. </w:t>
            </w:r>
            <w:proofErr w:type="spellStart"/>
            <w:r>
              <w:rPr>
                <w:rFonts w:ascii="Arial" w:eastAsia="Arial CE" w:hAnsi="Arial"/>
                <w:sz w:val="20"/>
                <w:szCs w:val="20"/>
              </w:rPr>
              <w:t>Dzierżynska</w:t>
            </w:r>
            <w:proofErr w:type="spellEnd"/>
            <w:r>
              <w:rPr>
                <w:rFonts w:ascii="Arial" w:eastAsia="Arial CE" w:hAnsi="Arial"/>
                <w:sz w:val="20"/>
                <w:szCs w:val="20"/>
              </w:rPr>
              <w:t xml:space="preserve">, J. </w:t>
            </w:r>
            <w:r>
              <w:rPr>
                <w:rFonts w:ascii="Arial" w:eastAsia="Arial CE" w:hAnsi="Arial"/>
                <w:sz w:val="20"/>
                <w:szCs w:val="20"/>
              </w:rPr>
              <w:t>Tokarska-</w:t>
            </w:r>
            <w:proofErr w:type="spellStart"/>
            <w:r>
              <w:rPr>
                <w:rFonts w:ascii="Arial" w:eastAsia="Arial CE" w:hAnsi="Arial"/>
                <w:sz w:val="20"/>
                <w:szCs w:val="20"/>
              </w:rPr>
              <w:t>Bakir</w:t>
            </w:r>
            <w:proofErr w:type="spellEnd"/>
            <w:r>
              <w:rPr>
                <w:rFonts w:ascii="Arial" w:eastAsia="Arial CE" w:hAnsi="Arial"/>
                <w:sz w:val="20"/>
                <w:szCs w:val="20"/>
              </w:rPr>
              <w:t>, wstęp: J. Tokarska-</w:t>
            </w:r>
            <w:proofErr w:type="spellStart"/>
            <w:r>
              <w:rPr>
                <w:rFonts w:ascii="Arial" w:eastAsia="Arial CE" w:hAnsi="Arial"/>
                <w:sz w:val="20"/>
                <w:szCs w:val="20"/>
              </w:rPr>
              <w:t>Bakir</w:t>
            </w:r>
            <w:proofErr w:type="spellEnd"/>
            <w:r>
              <w:rPr>
                <w:rFonts w:ascii="Arial" w:eastAsia="Arial CE" w:hAnsi="Arial"/>
                <w:sz w:val="20"/>
                <w:szCs w:val="20"/>
              </w:rPr>
              <w:t>, Gdańsk 2007</w:t>
            </w:r>
          </w:p>
          <w:p w:rsidR="00E74D38" w:rsidRDefault="0047506D">
            <w:pPr>
              <w:numPr>
                <w:ilvl w:val="0"/>
                <w:numId w:val="4"/>
              </w:numPr>
              <w:autoSpaceDE w:val="0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eastAsia="Arial CE" w:hAnsi="Arial"/>
                <w:sz w:val="20"/>
                <w:szCs w:val="20"/>
              </w:rPr>
              <w:t>Geertz</w:t>
            </w:r>
            <w:proofErr w:type="spellEnd"/>
            <w:r>
              <w:rPr>
                <w:rFonts w:ascii="Arial" w:eastAsia="Arial CE" w:hAnsi="Arial"/>
                <w:sz w:val="20"/>
                <w:szCs w:val="20"/>
              </w:rPr>
              <w:t xml:space="preserve"> Cl.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Zastane światło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antropologiczne refleksje na tematy filozoficzne</w:t>
            </w:r>
            <w:r>
              <w:rPr>
                <w:rFonts w:ascii="Arial" w:eastAsia="Arial CE" w:hAnsi="Arial"/>
                <w:sz w:val="20"/>
                <w:szCs w:val="20"/>
              </w:rPr>
              <w:t>, tł. i wstęp Z. Pucek, Kraków 2003</w:t>
            </w:r>
          </w:p>
          <w:p w:rsidR="00E74D38" w:rsidRDefault="0047506D">
            <w:pPr>
              <w:numPr>
                <w:ilvl w:val="0"/>
                <w:numId w:val="4"/>
              </w:numPr>
              <w:autoSpaceDE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Douglas M.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 xml:space="preserve">Czystość i zmaza, 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ł. M. Bucholc, </w:t>
            </w:r>
            <w:proofErr w:type="spellStart"/>
            <w:r>
              <w:rPr>
                <w:rFonts w:ascii="Arial" w:eastAsia="Arial CE" w:hAnsi="Arial"/>
                <w:sz w:val="20"/>
                <w:szCs w:val="20"/>
              </w:rPr>
              <w:t>wstep</w:t>
            </w:r>
            <w:proofErr w:type="spellEnd"/>
            <w:r>
              <w:rPr>
                <w:rFonts w:ascii="Arial" w:eastAsia="Arial CE" w:hAnsi="Arial"/>
                <w:sz w:val="20"/>
                <w:szCs w:val="20"/>
              </w:rPr>
              <w:t>: J. Tokarska-</w:t>
            </w:r>
            <w:proofErr w:type="spellStart"/>
            <w:r>
              <w:rPr>
                <w:rFonts w:ascii="Arial" w:eastAsia="Arial CE" w:hAnsi="Arial"/>
                <w:sz w:val="20"/>
                <w:szCs w:val="20"/>
              </w:rPr>
              <w:t>Bakir</w:t>
            </w:r>
            <w:proofErr w:type="spellEnd"/>
            <w:r>
              <w:rPr>
                <w:rFonts w:ascii="Arial" w:eastAsia="Arial CE" w:hAnsi="Arial"/>
                <w:sz w:val="20"/>
                <w:szCs w:val="20"/>
              </w:rPr>
              <w:t>, Warszawa 2007</w:t>
            </w:r>
          </w:p>
          <w:p w:rsidR="00E74D38" w:rsidRDefault="0047506D">
            <w:pPr>
              <w:numPr>
                <w:ilvl w:val="0"/>
                <w:numId w:val="4"/>
              </w:numPr>
              <w:autoSpaceDE w:val="0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eastAsia="Arial CE" w:hAnsi="Arial"/>
                <w:sz w:val="20"/>
                <w:szCs w:val="20"/>
              </w:rPr>
              <w:t>Bagłaj</w:t>
            </w:r>
            <w:r>
              <w:rPr>
                <w:rFonts w:ascii="Arial" w:eastAsia="Arial CE" w:hAnsi="Arial"/>
                <w:sz w:val="20"/>
                <w:szCs w:val="20"/>
              </w:rPr>
              <w:t>ewski</w:t>
            </w:r>
            <w:proofErr w:type="spellEnd"/>
            <w:r>
              <w:rPr>
                <w:rFonts w:ascii="Arial" w:eastAsia="Arial CE" w:hAnsi="Arial"/>
                <w:sz w:val="20"/>
                <w:szCs w:val="20"/>
              </w:rPr>
              <w:t xml:space="preserve"> A. 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Miasto-palimpsest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w: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Miejsce rzeczywiste-miejsce wyobrażone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(red.) Kitowska-Łysiak, Lublin 1999. </w:t>
            </w:r>
          </w:p>
          <w:p w:rsidR="00E74D38" w:rsidRDefault="0047506D">
            <w:pPr>
              <w:numPr>
                <w:ilvl w:val="0"/>
                <w:numId w:val="4"/>
              </w:numPr>
              <w:autoSpaceDE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Tazbir J.,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Wojna na pomniki</w:t>
            </w:r>
            <w:r>
              <w:rPr>
                <w:rFonts w:ascii="Arial" w:eastAsia="Arial CE" w:hAnsi="Arial"/>
                <w:sz w:val="20"/>
                <w:szCs w:val="20"/>
              </w:rPr>
              <w:t>, „Polityka” 1996 nr 29</w:t>
            </w:r>
          </w:p>
          <w:p w:rsidR="00E74D38" w:rsidRDefault="0047506D">
            <w:pPr>
              <w:numPr>
                <w:ilvl w:val="0"/>
                <w:numId w:val="4"/>
              </w:numPr>
              <w:autoSpaceDE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Harding D.,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Wyobrażenia miasta i jego przestrzeni</w:t>
            </w:r>
            <w:r>
              <w:rPr>
                <w:rFonts w:ascii="Arial" w:eastAsia="Arial CE" w:hAnsi="Arial"/>
                <w:sz w:val="20"/>
                <w:szCs w:val="20"/>
              </w:rPr>
              <w:t>, „Konteksty” 2008 3-4</w:t>
            </w:r>
          </w:p>
          <w:p w:rsidR="00E74D38" w:rsidRDefault="0047506D">
            <w:pPr>
              <w:numPr>
                <w:ilvl w:val="0"/>
                <w:numId w:val="4"/>
              </w:numPr>
              <w:autoSpaceDE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Krajewski M.,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Co to je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st sztuka publiczna?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 „Kultura i Społeczeństwo” 2005</w:t>
            </w:r>
          </w:p>
          <w:p w:rsidR="00E74D38" w:rsidRDefault="0047506D">
            <w:pPr>
              <w:numPr>
                <w:ilvl w:val="0"/>
                <w:numId w:val="4"/>
              </w:numPr>
              <w:autoSpaceDE w:val="0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eastAsia="Arial CE" w:hAnsi="Arial"/>
                <w:sz w:val="20"/>
                <w:szCs w:val="20"/>
              </w:rPr>
              <w:t>Krenz</w:t>
            </w:r>
            <w:proofErr w:type="spellEnd"/>
            <w:r>
              <w:rPr>
                <w:rFonts w:ascii="Arial" w:eastAsia="Arial CE" w:hAnsi="Arial"/>
                <w:sz w:val="20"/>
                <w:szCs w:val="20"/>
              </w:rPr>
              <w:t xml:space="preserve"> J.,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Architektura znaczeń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Gdańsk 1997 </w:t>
            </w:r>
          </w:p>
          <w:p w:rsidR="00E74D38" w:rsidRDefault="0047506D">
            <w:pPr>
              <w:numPr>
                <w:ilvl w:val="0"/>
                <w:numId w:val="4"/>
              </w:numPr>
              <w:autoSpaceDE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Rey J., </w:t>
            </w:r>
            <w:r>
              <w:rPr>
                <w:rFonts w:ascii="Arial" w:eastAsia="Arial CE" w:hAnsi="Arial"/>
                <w:i/>
                <w:sz w:val="20"/>
                <w:szCs w:val="20"/>
              </w:rPr>
              <w:t>Taniec, jego rozwój i formy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Warszawa 1958. </w:t>
            </w:r>
          </w:p>
          <w:p w:rsidR="00E74D38" w:rsidRDefault="0047506D">
            <w:pPr>
              <w:numPr>
                <w:ilvl w:val="0"/>
                <w:numId w:val="4"/>
              </w:numPr>
              <w:autoSpaceDE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Lange R. , </w:t>
            </w:r>
            <w:r>
              <w:rPr>
                <w:rFonts w:ascii="Arial" w:eastAsia="Arial CE" w:hAnsi="Arial"/>
                <w:i/>
                <w:sz w:val="20"/>
                <w:szCs w:val="20"/>
              </w:rPr>
              <w:t>O istocie tańca i jego przejawach w kulturze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, PWM, Kraków 1988. </w:t>
            </w:r>
          </w:p>
          <w:p w:rsidR="00E74D38" w:rsidRDefault="0047506D">
            <w:pPr>
              <w:numPr>
                <w:ilvl w:val="0"/>
                <w:numId w:val="4"/>
              </w:numPr>
              <w:autoSpaceDE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 xml:space="preserve">Rytualizacja w komunikacji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społecznej i interkultur</w:t>
            </w:r>
            <w:r>
              <w:rPr>
                <w:rFonts w:ascii="Arial" w:hAnsi="Arial" w:cs="serif"/>
                <w:i/>
                <w:iCs/>
                <w:sz w:val="20"/>
                <w:szCs w:val="20"/>
              </w:rPr>
              <w:t>owej</w:t>
            </w:r>
            <w:r>
              <w:rPr>
                <w:rFonts w:ascii="Arial" w:hAnsi="Arial" w:cs="serif"/>
                <w:sz w:val="20"/>
                <w:szCs w:val="20"/>
              </w:rPr>
              <w:t>, (red.) J. Mazur, Lublin 2004</w:t>
            </w:r>
          </w:p>
          <w:p w:rsidR="00E74D38" w:rsidRDefault="0047506D">
            <w:pPr>
              <w:numPr>
                <w:ilvl w:val="0"/>
                <w:numId w:val="4"/>
              </w:numPr>
              <w:autoSpaceDE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 xml:space="preserve">Collins E., </w:t>
            </w:r>
            <w:r>
              <w:rPr>
                <w:rFonts w:ascii="Arial" w:hAnsi="Arial" w:cs="serif"/>
                <w:i/>
                <w:iCs/>
                <w:sz w:val="20"/>
                <w:szCs w:val="20"/>
              </w:rPr>
              <w:t>Mowa ciała. Co znacz</w:t>
            </w:r>
            <w:r>
              <w:rPr>
                <w:rFonts w:ascii="Arial" w:hAnsi="Arial" w:cs="sans-serif;Arial"/>
                <w:i/>
                <w:iCs/>
                <w:sz w:val="20"/>
                <w:szCs w:val="20"/>
              </w:rPr>
              <w:t xml:space="preserve">ą </w:t>
            </w:r>
            <w:r>
              <w:rPr>
                <w:rFonts w:ascii="Arial" w:hAnsi="Arial" w:cs="serif"/>
                <w:i/>
                <w:iCs/>
                <w:sz w:val="20"/>
                <w:szCs w:val="20"/>
              </w:rPr>
              <w:t>nasze gesty?</w:t>
            </w:r>
            <w:r>
              <w:rPr>
                <w:rFonts w:ascii="Arial" w:hAnsi="Arial" w:cs="serif"/>
                <w:sz w:val="20"/>
                <w:szCs w:val="20"/>
              </w:rPr>
              <w:t>, Warszawa 2002</w:t>
            </w:r>
          </w:p>
          <w:p w:rsidR="00E74D38" w:rsidRDefault="0047506D">
            <w:pPr>
              <w:numPr>
                <w:ilvl w:val="0"/>
                <w:numId w:val="4"/>
              </w:numPr>
              <w:autoSpaceDE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 xml:space="preserve">Kognitywna teoria filmu. </w:t>
            </w:r>
            <w:r>
              <w:rPr>
                <w:rFonts w:ascii="Arial" w:hAnsi="Arial" w:cs="serif"/>
                <w:i/>
                <w:iCs/>
                <w:sz w:val="20"/>
                <w:szCs w:val="20"/>
              </w:rPr>
              <w:t>Antologia przekładów</w:t>
            </w:r>
            <w:r>
              <w:rPr>
                <w:rFonts w:ascii="Arial" w:hAnsi="Arial" w:cs="serif"/>
                <w:sz w:val="20"/>
                <w:szCs w:val="20"/>
              </w:rPr>
              <w:t>, pod red. J. Ostaszewskiego, Kraków 1999</w:t>
            </w:r>
          </w:p>
          <w:p w:rsidR="00E74D38" w:rsidRDefault="0047506D">
            <w:pPr>
              <w:numPr>
                <w:ilvl w:val="0"/>
                <w:numId w:val="4"/>
              </w:numPr>
              <w:autoSpaceDE w:val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 xml:space="preserve">Problemy kształtowania przestrzeni publicznej, </w:t>
            </w:r>
            <w:r>
              <w:rPr>
                <w:rFonts w:ascii="Arial" w:eastAsia="Arial CE" w:hAnsi="Arial"/>
                <w:sz w:val="20"/>
                <w:szCs w:val="20"/>
              </w:rPr>
              <w:t>(</w:t>
            </w:r>
            <w:r>
              <w:rPr>
                <w:rFonts w:ascii="Arial" w:eastAsia="Arial CE" w:hAnsi="Arial"/>
                <w:sz w:val="20"/>
                <w:szCs w:val="20"/>
              </w:rPr>
              <w:t xml:space="preserve">red.) P. Lorens, </w:t>
            </w:r>
            <w:proofErr w:type="spellStart"/>
            <w:r>
              <w:rPr>
                <w:rFonts w:ascii="Arial" w:eastAsia="Arial CE" w:hAnsi="Arial"/>
                <w:sz w:val="20"/>
                <w:szCs w:val="20"/>
              </w:rPr>
              <w:t>J.Martyniuk</w:t>
            </w:r>
            <w:proofErr w:type="spellEnd"/>
            <w:r>
              <w:rPr>
                <w:rFonts w:ascii="Arial" w:eastAsia="Arial CE" w:hAnsi="Arial"/>
                <w:sz w:val="20"/>
                <w:szCs w:val="20"/>
              </w:rPr>
              <w:t xml:space="preserve">-Pęczek, Wydawnictwo Urbanista, Gdańsk 2010, http://www.arch.pg.gda.pl/pokl/skrypt%202.pdf </w:t>
            </w:r>
          </w:p>
          <w:p w:rsidR="00E74D38" w:rsidRDefault="0047506D">
            <w:pPr>
              <w:numPr>
                <w:ilvl w:val="0"/>
                <w:numId w:val="4"/>
              </w:numPr>
              <w:autoSpaceDE w:val="0"/>
              <w:rPr>
                <w:rFonts w:ascii="Arial" w:hAnsi="Arial"/>
                <w:sz w:val="20"/>
                <w:szCs w:val="20"/>
              </w:rPr>
            </w:pPr>
            <w:proofErr w:type="spellStart"/>
            <w:r>
              <w:rPr>
                <w:rFonts w:ascii="Arial" w:eastAsia="Arial CE" w:hAnsi="Arial"/>
                <w:sz w:val="20"/>
                <w:szCs w:val="20"/>
              </w:rPr>
              <w:t>Morreale</w:t>
            </w:r>
            <w:proofErr w:type="spellEnd"/>
            <w:r>
              <w:rPr>
                <w:rFonts w:ascii="Arial" w:eastAsia="Arial CE" w:hAnsi="Arial"/>
                <w:sz w:val="20"/>
                <w:szCs w:val="20"/>
              </w:rPr>
              <w:t xml:space="preserve"> S.P., </w:t>
            </w:r>
            <w:proofErr w:type="spellStart"/>
            <w:r>
              <w:rPr>
                <w:rFonts w:ascii="Arial" w:eastAsia="Arial CE" w:hAnsi="Arial"/>
                <w:sz w:val="20"/>
                <w:szCs w:val="20"/>
              </w:rPr>
              <w:t>Spitzberg</w:t>
            </w:r>
            <w:proofErr w:type="spellEnd"/>
            <w:r>
              <w:rPr>
                <w:rFonts w:ascii="Arial" w:eastAsia="Arial CE" w:hAnsi="Arial"/>
                <w:sz w:val="20"/>
                <w:szCs w:val="20"/>
              </w:rPr>
              <w:t xml:space="preserve"> B.H., </w:t>
            </w:r>
            <w:proofErr w:type="spellStart"/>
            <w:r>
              <w:rPr>
                <w:rFonts w:ascii="Arial" w:eastAsia="Arial CE" w:hAnsi="Arial"/>
                <w:sz w:val="20"/>
                <w:szCs w:val="20"/>
              </w:rPr>
              <w:t>Barge</w:t>
            </w:r>
            <w:proofErr w:type="spellEnd"/>
            <w:r>
              <w:rPr>
                <w:rFonts w:ascii="Arial" w:eastAsia="Arial CE" w:hAnsi="Arial"/>
                <w:sz w:val="20"/>
                <w:szCs w:val="20"/>
              </w:rPr>
              <w:t xml:space="preserve"> J.K., </w:t>
            </w:r>
            <w:r>
              <w:rPr>
                <w:rFonts w:ascii="Arial" w:eastAsia="Arial CE" w:hAnsi="Arial"/>
                <w:i/>
                <w:iCs/>
                <w:sz w:val="20"/>
                <w:szCs w:val="20"/>
              </w:rPr>
              <w:t>Komunikacja między ludźmi. Motywacja, wiedza i umiejętności</w:t>
            </w:r>
            <w:r>
              <w:rPr>
                <w:rFonts w:ascii="Arial" w:eastAsia="Arial CE" w:hAnsi="Arial"/>
                <w:sz w:val="20"/>
                <w:szCs w:val="20"/>
              </w:rPr>
              <w:t>, Wydawnictwo Naukowe PWN, Warszaw</w:t>
            </w:r>
            <w:r>
              <w:rPr>
                <w:rFonts w:ascii="Arial" w:eastAsia="Arial CE" w:hAnsi="Arial"/>
                <w:sz w:val="20"/>
                <w:szCs w:val="20"/>
              </w:rPr>
              <w:t>a 2000</w:t>
            </w:r>
          </w:p>
          <w:p w:rsidR="00E74D38" w:rsidRDefault="0047506D">
            <w:pPr>
              <w:autoSpaceDE w:val="0"/>
              <w:spacing w:after="0"/>
              <w:rPr>
                <w:rFonts w:ascii="Arial" w:eastAsia="Arial CE" w:hAnsi="Arial"/>
                <w:sz w:val="20"/>
                <w:szCs w:val="20"/>
              </w:rPr>
            </w:pPr>
            <w:r>
              <w:rPr>
                <w:rFonts w:ascii="Arial" w:eastAsia="Arial CE" w:hAnsi="Arial"/>
                <w:sz w:val="20"/>
                <w:szCs w:val="20"/>
              </w:rPr>
              <w:t>+pomocnicze materiały do pracy w terenie</w:t>
            </w:r>
          </w:p>
          <w:p w:rsidR="00E74D38" w:rsidRDefault="0047506D">
            <w:pPr>
              <w:pStyle w:val="Punktygwne"/>
              <w:spacing w:before="0" w:after="0"/>
              <w:rPr>
                <w:rFonts w:ascii="Arial" w:hAnsi="Arial" w:cs="Corbel"/>
                <w:b w:val="0"/>
                <w:smallCaps w:val="0"/>
                <w:sz w:val="20"/>
                <w:szCs w:val="20"/>
              </w:rPr>
            </w:pPr>
            <w:r>
              <w:rPr>
                <w:rFonts w:ascii="Arial" w:hAnsi="Arial" w:cs="Corbel"/>
                <w:b w:val="0"/>
                <w:smallCaps w:val="0"/>
                <w:sz w:val="20"/>
                <w:szCs w:val="20"/>
              </w:rPr>
              <w:t>+tradycyjne i multimedialne materiały pomocnicze udostępniane wedle potrzeb na platformie edukacyjnej online</w:t>
            </w:r>
          </w:p>
        </w:tc>
      </w:tr>
    </w:tbl>
    <w:p w:rsidR="00E74D38" w:rsidRDefault="00E74D3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E74D38" w:rsidRDefault="00E74D38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</w:p>
    <w:p w:rsidR="00E74D38" w:rsidRDefault="0047506D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Cs w:val="24"/>
        </w:rPr>
      </w:pPr>
      <w:r>
        <w:rPr>
          <w:rFonts w:ascii="Corbel" w:hAnsi="Corbel" w:cs="Corbel"/>
          <w:b w:val="0"/>
          <w:smallCaps w:val="0"/>
          <w:szCs w:val="24"/>
        </w:rPr>
        <w:t>Akceptacja Kierownika Jednostki lub osoby upoważnionej</w:t>
      </w:r>
    </w:p>
    <w:sectPr w:rsidR="00E74D38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506D" w:rsidRDefault="0047506D">
      <w:pPr>
        <w:spacing w:after="0" w:line="240" w:lineRule="auto"/>
      </w:pPr>
      <w:r>
        <w:separator/>
      </w:r>
    </w:p>
  </w:endnote>
  <w:endnote w:type="continuationSeparator" w:id="0">
    <w:p w:rsidR="0047506D" w:rsidRDefault="00475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CE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rif">
    <w:panose1 w:val="00000000000000000000"/>
    <w:charset w:val="00"/>
    <w:family w:val="roman"/>
    <w:notTrueType/>
    <w:pitch w:val="default"/>
  </w:font>
  <w:font w:name="sans-serif;Arial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506D" w:rsidRDefault="0047506D">
      <w:r>
        <w:separator/>
      </w:r>
    </w:p>
  </w:footnote>
  <w:footnote w:type="continuationSeparator" w:id="0">
    <w:p w:rsidR="0047506D" w:rsidRDefault="0047506D">
      <w:r>
        <w:continuationSeparator/>
      </w:r>
    </w:p>
  </w:footnote>
  <w:footnote w:id="1">
    <w:p w:rsidR="00E74D38" w:rsidRDefault="0047506D">
      <w:pPr>
        <w:rPr>
          <w:rStyle w:val="FootnoteCharacters"/>
          <w:rFonts w:ascii="Corbel" w:hAnsi="Corbel" w:cs="Corbel"/>
        </w:rPr>
      </w:pPr>
      <w:r>
        <w:rPr>
          <w:rStyle w:val="FootnoteCharacters"/>
        </w:rPr>
        <w:footnoteRef/>
      </w:r>
      <w:r>
        <w:br w:type="page"/>
      </w:r>
    </w:p>
    <w:p w:rsidR="00E74D38" w:rsidRDefault="0047506D">
      <w:pPr>
        <w:pStyle w:val="Tekstprzypisudolnego"/>
      </w:pPr>
      <w:r>
        <w:rPr>
          <w:rStyle w:val="FootnoteCharacters"/>
        </w:rPr>
        <w:tab/>
      </w:r>
      <w:r>
        <w:t xml:space="preserve"> W przypadku ścieżki kształcenia prowadzącej do uzyskania kwalifikacji nauczycielskich uwzględnić również efekty uczenia się ze standardów kształcenia przygotowującego do wykonyw</w:t>
      </w:r>
      <w:r>
        <w:t xml:space="preserve">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32AF2"/>
    <w:multiLevelType w:val="multilevel"/>
    <w:tmpl w:val="7218A03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2A293238"/>
    <w:multiLevelType w:val="multilevel"/>
    <w:tmpl w:val="82D48FCA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233D93"/>
    <w:multiLevelType w:val="multilevel"/>
    <w:tmpl w:val="C91015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Arial CE" w:hAnsi="Times New Roman" w:cs="Times New Roman"/>
        <w:i w:val="0"/>
        <w:i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2CE150A"/>
    <w:multiLevelType w:val="multilevel"/>
    <w:tmpl w:val="8E5E270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79620A32"/>
    <w:multiLevelType w:val="multilevel"/>
    <w:tmpl w:val="BC626A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i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4D38"/>
    <w:rsid w:val="0036582D"/>
    <w:rsid w:val="0047506D"/>
    <w:rsid w:val="00E74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DCA53"/>
  <w15:docId w15:val="{03595153-5D62-48D2-B5EE-ACD2ED193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" w:hAnsi="Liberation Serif" w:cs="Lohit Devanagari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 w:cs="Times New Roman"/>
      <w:sz w:val="22"/>
      <w:szCs w:val="22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TytuZnak">
    <w:name w:val="Tytuł Znak"/>
    <w:qFormat/>
    <w:rPr>
      <w:rFonts w:eastAsia="Times New Roman"/>
      <w:b/>
      <w:bCs/>
      <w:lang w:eastAsia="pl-PL"/>
    </w:rPr>
  </w:style>
  <w:style w:type="character" w:customStyle="1" w:styleId="TekstdymkaZnak">
    <w:name w:val="Tekst dymka Znak"/>
    <w:qFormat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qFormat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qFormat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qFormat/>
    <w:rPr>
      <w:rFonts w:ascii="Calibri" w:hAnsi="Calibri" w:cs="Times New Roman"/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otnoteAnchor">
    <w:name w:val="Footnote Anchor"/>
    <w:rPr>
      <w:vertAlign w:val="superscript"/>
    </w:rPr>
  </w:style>
  <w:style w:type="character" w:customStyle="1" w:styleId="TekstpodstawowyZnak">
    <w:name w:val="Tekst podstawowy Znak"/>
    <w:qFormat/>
    <w:rPr>
      <w:rFonts w:ascii="Calibri" w:eastAsia="Calibri" w:hAnsi="Calibri" w:cs="Calibri"/>
      <w:sz w:val="22"/>
      <w:szCs w:val="22"/>
    </w:rPr>
  </w:style>
  <w:style w:type="character" w:styleId="Numerstrony">
    <w:name w:val="page number"/>
    <w:basedOn w:val="Domylnaczcionkaakapitu"/>
    <w:qFormat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EndnoteCharacters">
    <w:name w:val="Endnote Characters"/>
    <w:qFormat/>
    <w:rPr>
      <w:vertAlign w:val="superscript"/>
    </w:rPr>
  </w:style>
  <w:style w:type="character" w:customStyle="1" w:styleId="WW-EndnoteCharacters">
    <w:name w:val="WW-Endnote Characters"/>
    <w:qFormat/>
  </w:style>
  <w:style w:type="character" w:customStyle="1" w:styleId="ListLabel1">
    <w:name w:val="ListLabel 1"/>
    <w:qFormat/>
    <w:rPr>
      <w:rFonts w:ascii="Arial CE" w:eastAsia="Arial CE" w:hAnsi="Arial CE" w:cs="Arial CE"/>
      <w:b w:val="0"/>
      <w:bCs w:val="0"/>
      <w:sz w:val="20"/>
      <w:szCs w:val="20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WW8Num5z0">
    <w:name w:val="WW8Num5z0"/>
    <w:qFormat/>
  </w:style>
  <w:style w:type="character" w:customStyle="1" w:styleId="WW8Num3z0">
    <w:name w:val="WW8Num3z0"/>
    <w:qFormat/>
    <w:rPr>
      <w:rFonts w:ascii="Arial" w:eastAsia="Arial" w:hAnsi="Arial" w:cs="Arial"/>
      <w:i/>
      <w:sz w:val="20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Times New Roman" w:eastAsia="Arial CE" w:hAnsi="Times New Roman" w:cs="Times New Roman"/>
      <w:i w:val="0"/>
      <w:iCs w:val="0"/>
      <w:sz w:val="22"/>
      <w:szCs w:val="22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;Arial" w:eastAsia="Noto Sans CJK SC" w:hAnsi="Liberation Sans;Arial" w:cs="Lohit Devanagari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ytu">
    <w:name w:val="Title"/>
    <w:basedOn w:val="Normalny"/>
    <w:next w:val="Tekstpodstawowy"/>
    <w:qFormat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pPr>
      <w:suppressAutoHyphens/>
    </w:pPr>
    <w:rPr>
      <w:rFonts w:ascii="Arial" w:eastAsia="Calibri" w:hAnsi="Arial" w:cs="Arial"/>
      <w:color w:val="000000"/>
      <w:lang w:eastAsia="en-US" w:bidi="ar-SA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qFormat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qFormat/>
    <w:pPr>
      <w:suppressAutoHyphens/>
    </w:pPr>
    <w:rPr>
      <w:rFonts w:ascii="Calibri" w:eastAsia="Calibri" w:hAnsi="Calibri" w:cs="Times New Roman"/>
      <w:sz w:val="22"/>
      <w:szCs w:val="22"/>
      <w:lang w:eastAsia="en-US" w:bidi="ar-SA"/>
    </w:rPr>
  </w:style>
  <w:style w:type="paragraph" w:customStyle="1" w:styleId="TableContents">
    <w:name w:val="Table Contents"/>
    <w:basedOn w:val="Normalny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1422</Words>
  <Characters>8537</Characters>
  <Application>Microsoft Office Word</Application>
  <DocSecurity>0</DocSecurity>
  <Lines>71</Lines>
  <Paragraphs>19</Paragraphs>
  <ScaleCrop>false</ScaleCrop>
  <Company>Hewlett-Packard Company</Company>
  <LinksUpToDate>false</LinksUpToDate>
  <CharactersWithSpaces>9940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Użytkownik systemu Windows</cp:lastModifiedBy>
  <cp:revision>10</cp:revision>
  <cp:lastPrinted>2019-02-06T12:12:00Z</cp:lastPrinted>
  <dcterms:created xsi:type="dcterms:W3CDTF">2023-10-02T12:20:00Z</dcterms:created>
  <dcterms:modified xsi:type="dcterms:W3CDTF">2024-08-09T10:40:00Z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